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6462ED">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eastAsia" w:ascii="宋体" w:hAnsi="宋体" w:eastAsia="宋体" w:cs="宋体"/>
          <w:i w:val="0"/>
          <w:caps w:val="0"/>
          <w:color w:val="5F5F5F"/>
          <w:spacing w:val="0"/>
          <w:sz w:val="44"/>
          <w:szCs w:val="44"/>
          <w:u w:val="none"/>
        </w:rPr>
      </w:pPr>
      <w:r>
        <w:rPr>
          <w:rFonts w:hint="eastAsia" w:ascii="宋体" w:hAnsi="宋体" w:eastAsia="宋体" w:cs="宋体"/>
          <w:i w:val="0"/>
          <w:caps w:val="0"/>
          <w:color w:val="5F5F5F"/>
          <w:spacing w:val="0"/>
          <w:sz w:val="44"/>
          <w:szCs w:val="44"/>
          <w:u w:val="none"/>
          <w:lang w:eastAsia="zh-CN"/>
        </w:rPr>
        <w:t>抚松县政数局</w:t>
      </w:r>
    </w:p>
    <w:p w14:paraId="3B10D07D">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eastAsia" w:ascii="宋体" w:hAnsi="宋体" w:eastAsia="宋体" w:cs="宋体"/>
          <w:i w:val="0"/>
          <w:caps w:val="0"/>
          <w:color w:val="5F5F5F"/>
          <w:spacing w:val="0"/>
          <w:sz w:val="44"/>
          <w:szCs w:val="44"/>
          <w:u w:val="none"/>
        </w:rPr>
      </w:pPr>
      <w:r>
        <w:rPr>
          <w:rFonts w:hint="eastAsia" w:ascii="宋体" w:hAnsi="宋体" w:eastAsia="宋体" w:cs="宋体"/>
          <w:i w:val="0"/>
          <w:caps w:val="0"/>
          <w:color w:val="5F5F5F"/>
          <w:spacing w:val="0"/>
          <w:sz w:val="44"/>
          <w:szCs w:val="44"/>
          <w:u w:val="none"/>
        </w:rPr>
        <w:t>行政执法公示制度</w:t>
      </w:r>
    </w:p>
    <w:p w14:paraId="538EE9D2">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eastAsia" w:ascii="宋体" w:hAnsi="宋体" w:eastAsia="宋体" w:cs="宋体"/>
          <w:i w:val="0"/>
          <w:caps w:val="0"/>
          <w:color w:val="5F5F5F"/>
          <w:spacing w:val="0"/>
          <w:sz w:val="44"/>
          <w:szCs w:val="44"/>
          <w:u w:val="none"/>
        </w:rPr>
      </w:pPr>
    </w:p>
    <w:p w14:paraId="6387A700">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第一章 总 则</w:t>
      </w:r>
    </w:p>
    <w:p w14:paraId="0DCC4F46">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ascii="Calibri" w:hAnsi="Calibri" w:eastAsia="Calibri" w:cs="Calibri"/>
          <w:i w:val="0"/>
          <w:caps w:val="0"/>
          <w:color w:val="5F5F5F"/>
          <w:spacing w:val="0"/>
          <w:sz w:val="32"/>
          <w:szCs w:val="32"/>
          <w:u w:val="none"/>
        </w:rPr>
        <w:t>　　</w:t>
      </w:r>
      <w:r>
        <w:rPr>
          <w:rFonts w:hint="eastAsia" w:ascii="宋体" w:hAnsi="宋体" w:eastAsia="宋体" w:cs="宋体"/>
          <w:i w:val="0"/>
          <w:caps w:val="0"/>
          <w:color w:val="5F5F5F"/>
          <w:spacing w:val="0"/>
          <w:sz w:val="32"/>
          <w:szCs w:val="32"/>
          <w:u w:val="none"/>
        </w:rPr>
        <w:t>第一条 为建立和实施行政执法公示制度，提高行政执法工作透明度，保障和监督行政执法部门依法行政，切实保护公民、法人和其他组织的合法权益，加快建设法治政府，优化营商环境，结合我局行政执法工作实际，制定本制度。</w:t>
      </w:r>
    </w:p>
    <w:p w14:paraId="1254FEFF">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第二条 本制度所称行政执法公示是指各行政许可承办科采取一定方式，依法将我局相应的行政许可职责、依据、范围、权限、程序、结果、等行政执法内容向行政管理相对人和社会公众公开，接受社会监督的制度。</w:t>
      </w:r>
    </w:p>
    <w:p w14:paraId="69C601ED">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第三条 行政执法公示应当遵循合法、及时、准确、全面、便民的原则。</w:t>
      </w:r>
    </w:p>
    <w:p w14:paraId="2DE5BA7E">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第二章 公示公开内容</w:t>
      </w:r>
    </w:p>
    <w:p w14:paraId="7D1D68B0">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第一节 事前公示内容</w:t>
      </w:r>
    </w:p>
    <w:p w14:paraId="43120515">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第四条 事前主动公开我局行政执法主体名称、机构性质、主体类别、执法职责和权限、法定代表人、地址、投诉举报电话、执法依据、执法</w:t>
      </w:r>
      <w:r>
        <w:rPr>
          <w:rFonts w:hint="eastAsia" w:ascii="宋体" w:hAnsi="宋体" w:eastAsia="宋体" w:cs="宋体"/>
          <w:i w:val="0"/>
          <w:caps w:val="0"/>
          <w:color w:val="5F5F5F"/>
          <w:spacing w:val="0"/>
          <w:sz w:val="32"/>
          <w:szCs w:val="32"/>
          <w:u w:val="none"/>
          <w:lang w:eastAsia="zh-CN"/>
        </w:rPr>
        <w:t>流程</w:t>
      </w:r>
      <w:r>
        <w:rPr>
          <w:rFonts w:hint="eastAsia" w:ascii="宋体" w:hAnsi="宋体" w:eastAsia="宋体" w:cs="宋体"/>
          <w:i w:val="0"/>
          <w:caps w:val="0"/>
          <w:color w:val="5F5F5F"/>
          <w:spacing w:val="0"/>
          <w:sz w:val="32"/>
          <w:szCs w:val="32"/>
          <w:u w:val="none"/>
        </w:rPr>
        <w:t>、监督方式等信息，并根据法律、法规、规章立改废和部门机构职能调整等情况动态调整。</w:t>
      </w:r>
    </w:p>
    <w:p w14:paraId="0C2BA5A3">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第二节事中公示内容</w:t>
      </w:r>
    </w:p>
    <w:p w14:paraId="2602AC17">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645"/>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第五条　结合政府信息公开、权责清单公布、“双随机、一公开”监管等工作</w:t>
      </w:r>
      <w:r>
        <w:rPr>
          <w:rFonts w:ascii="Calibri" w:hAnsi="Calibri" w:eastAsia="宋体" w:cs="Calibri"/>
          <w:i w:val="0"/>
          <w:caps w:val="0"/>
          <w:color w:val="5F5F5F"/>
          <w:spacing w:val="0"/>
          <w:sz w:val="32"/>
          <w:szCs w:val="32"/>
          <w:u w:val="none"/>
        </w:rPr>
        <w:t>,</w:t>
      </w:r>
      <w:r>
        <w:rPr>
          <w:rFonts w:hint="eastAsia" w:ascii="宋体" w:hAnsi="宋体" w:eastAsia="宋体" w:cs="宋体"/>
          <w:i w:val="0"/>
          <w:caps w:val="0"/>
          <w:color w:val="5F5F5F"/>
          <w:spacing w:val="0"/>
          <w:sz w:val="32"/>
          <w:szCs w:val="32"/>
          <w:u w:val="none"/>
        </w:rPr>
        <w:t>逐项公示行政执法依据。</w:t>
      </w:r>
    </w:p>
    <w:p w14:paraId="5FB1AD3F">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第三节事后公示内容</w:t>
      </w:r>
    </w:p>
    <w:p w14:paraId="4A1C9AA0">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第六条 主动公开作出的行政许可决定信息，包括许可对象、许可方式、许可内容、许可决定等内容，接受社会监督。</w:t>
      </w:r>
    </w:p>
    <w:p w14:paraId="74EF83D6">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第七条 有下列情形之一的行政许可决定信息，不予公开：</w:t>
      </w:r>
    </w:p>
    <w:p w14:paraId="25B6BB84">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（一）主要事实涉及国家秘密、个人隐私的；</w:t>
      </w:r>
    </w:p>
    <w:p w14:paraId="312330F2">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（二）公开后可能危及国家安全、公共安全和社会稳定的；</w:t>
      </w:r>
    </w:p>
    <w:p w14:paraId="2C59D530">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（三）上级部门认为不适宜公开的其他行政许可决定信息。法律、法规、规章对行政许可决定公开另有规定的，从其规定。</w:t>
      </w:r>
    </w:p>
    <w:p w14:paraId="301D8CEA">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第三章 公示公开载体</w:t>
      </w:r>
    </w:p>
    <w:p w14:paraId="5A533733">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第八条 按照</w:t>
      </w:r>
      <w:r>
        <w:rPr>
          <w:rFonts w:hint="default" w:ascii="Calibri" w:hAnsi="Calibri" w:eastAsia="Calibri" w:cs="Calibri"/>
          <w:i w:val="0"/>
          <w:caps w:val="0"/>
          <w:color w:val="5F5F5F"/>
          <w:spacing w:val="0"/>
          <w:sz w:val="32"/>
          <w:szCs w:val="32"/>
          <w:u w:val="none"/>
        </w:rPr>
        <w:t>“</w:t>
      </w:r>
      <w:r>
        <w:rPr>
          <w:rFonts w:hint="eastAsia" w:ascii="宋体" w:hAnsi="宋体" w:eastAsia="宋体" w:cs="宋体"/>
          <w:i w:val="0"/>
          <w:caps w:val="0"/>
          <w:color w:val="5F5F5F"/>
          <w:spacing w:val="0"/>
          <w:sz w:val="32"/>
          <w:szCs w:val="32"/>
          <w:u w:val="none"/>
        </w:rPr>
        <w:t>谁执法、谁公开</w:t>
      </w:r>
      <w:r>
        <w:rPr>
          <w:rFonts w:hint="default" w:ascii="Calibri" w:hAnsi="Calibri" w:eastAsia="Calibri" w:cs="Calibri"/>
          <w:i w:val="0"/>
          <w:caps w:val="0"/>
          <w:color w:val="5F5F5F"/>
          <w:spacing w:val="0"/>
          <w:sz w:val="32"/>
          <w:szCs w:val="32"/>
          <w:u w:val="none"/>
        </w:rPr>
        <w:t>”</w:t>
      </w:r>
      <w:r>
        <w:rPr>
          <w:rFonts w:hint="eastAsia" w:ascii="宋体" w:hAnsi="宋体" w:eastAsia="宋体" w:cs="宋体"/>
          <w:i w:val="0"/>
          <w:caps w:val="0"/>
          <w:color w:val="5F5F5F"/>
          <w:spacing w:val="0"/>
          <w:sz w:val="32"/>
          <w:szCs w:val="32"/>
          <w:u w:val="none"/>
        </w:rPr>
        <w:t>的原则，以网络平台和政府文件为主要载体，不断拓展公开渠道方式，全面、准确、及时公开有关行政许可信息。法律法规规章另有规定的，从其规定。</w:t>
      </w:r>
    </w:p>
    <w:p w14:paraId="01BBD428">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（一）网络平台。主要包括</w:t>
      </w:r>
      <w:r>
        <w:rPr>
          <w:rFonts w:hint="eastAsia" w:ascii="宋体" w:hAnsi="宋体" w:eastAsia="宋体" w:cs="宋体"/>
          <w:i w:val="0"/>
          <w:caps w:val="0"/>
          <w:color w:val="5F5F5F"/>
          <w:spacing w:val="0"/>
          <w:sz w:val="32"/>
          <w:szCs w:val="32"/>
          <w:u w:val="none"/>
          <w:lang w:eastAsia="zh-CN"/>
        </w:rPr>
        <w:t>抚松</w:t>
      </w:r>
      <w:r>
        <w:rPr>
          <w:rFonts w:hint="eastAsia" w:ascii="宋体" w:hAnsi="宋体" w:eastAsia="宋体" w:cs="宋体"/>
          <w:i w:val="0"/>
          <w:caps w:val="0"/>
          <w:color w:val="5F5F5F"/>
          <w:spacing w:val="0"/>
          <w:sz w:val="32"/>
          <w:szCs w:val="32"/>
          <w:u w:val="none"/>
        </w:rPr>
        <w:t>县政</w:t>
      </w:r>
      <w:r>
        <w:rPr>
          <w:rFonts w:hint="eastAsia" w:ascii="宋体" w:hAnsi="宋体" w:eastAsia="宋体" w:cs="宋体"/>
          <w:i w:val="0"/>
          <w:caps w:val="0"/>
          <w:color w:val="5F5F5F"/>
          <w:spacing w:val="0"/>
          <w:sz w:val="32"/>
          <w:szCs w:val="32"/>
          <w:u w:val="none"/>
          <w:lang w:eastAsia="zh-CN"/>
        </w:rPr>
        <w:t>府</w:t>
      </w:r>
      <w:r>
        <w:rPr>
          <w:rFonts w:hint="eastAsia" w:ascii="宋体" w:hAnsi="宋体" w:eastAsia="宋体" w:cs="宋体"/>
          <w:i w:val="0"/>
          <w:caps w:val="0"/>
          <w:color w:val="5F5F5F"/>
          <w:spacing w:val="0"/>
          <w:sz w:val="32"/>
          <w:szCs w:val="32"/>
          <w:u w:val="none"/>
        </w:rPr>
        <w:t>网站等现代化信息传播手段。</w:t>
      </w:r>
    </w:p>
    <w:p w14:paraId="1CE91BFD">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（二）政府文件。主要包括政府信息简报、法规文件汇编等。</w:t>
      </w:r>
    </w:p>
    <w:p w14:paraId="729F7AC4">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（三）传统媒体。主要包括报刊、广播、电视等。</w:t>
      </w:r>
    </w:p>
    <w:p w14:paraId="76F75746">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（四）办公场所。主要包括服务窗口、办事大厅电子显示屏、门厅、信息公开栏等。</w:t>
      </w:r>
    </w:p>
    <w:p w14:paraId="6BD84C31">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第四章 公示公开程序</w:t>
      </w:r>
    </w:p>
    <w:p w14:paraId="1722EFFB">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第一节 事前公开程序</w:t>
      </w:r>
    </w:p>
    <w:p w14:paraId="1BB38F9A">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645"/>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第九条 编制责任清单、权力清单等，全面、准确梳理行政许可主体、职责、权限、依据、程序</w:t>
      </w:r>
      <w:bookmarkStart w:id="0" w:name="_GoBack"/>
      <w:bookmarkEnd w:id="0"/>
      <w:r>
        <w:rPr>
          <w:rFonts w:hint="eastAsia" w:ascii="宋体" w:hAnsi="宋体" w:eastAsia="宋体" w:cs="宋体"/>
          <w:i w:val="0"/>
          <w:caps w:val="0"/>
          <w:color w:val="5F5F5F"/>
          <w:spacing w:val="0"/>
          <w:sz w:val="32"/>
          <w:szCs w:val="32"/>
          <w:u w:val="none"/>
        </w:rPr>
        <w:t>等事前公开内容，报相关部门审核后予以公示。</w:t>
      </w:r>
    </w:p>
    <w:p w14:paraId="3A1E0BD8">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第十条 根据相关法律、法规、规章规定，编制本机关行政执法流程图，明确具体操作流程；编制行政执法服务指南，明确行政执法事项名称、依据、受理机构、审批机构、许可条件、申请材料、办理流程、办理时限、监督方式、办公时间、办公地址、办公电话等内容，方便群众办事。</w:t>
      </w:r>
    </w:p>
    <w:p w14:paraId="3F8FCA90">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第十一条 新公布、修改、废止法律、法规、规章和规范性文件，或者许可承办科室职能调整等情况引起行政许可公示内容发生变化的，要自有关法律、法规、规章和规范性文件生效、废止或者科室职能调整之日起</w:t>
      </w:r>
      <w:r>
        <w:rPr>
          <w:rFonts w:hint="default" w:ascii="Calibri" w:hAnsi="Calibri" w:eastAsia="Calibri" w:cs="Calibri"/>
          <w:i w:val="0"/>
          <w:caps w:val="0"/>
          <w:color w:val="5F5F5F"/>
          <w:spacing w:val="0"/>
          <w:sz w:val="32"/>
          <w:szCs w:val="32"/>
          <w:u w:val="none"/>
        </w:rPr>
        <w:t>20</w:t>
      </w:r>
      <w:r>
        <w:rPr>
          <w:rFonts w:hint="eastAsia" w:ascii="宋体" w:hAnsi="宋体" w:eastAsia="宋体" w:cs="宋体"/>
          <w:i w:val="0"/>
          <w:caps w:val="0"/>
          <w:color w:val="5F5F5F"/>
          <w:spacing w:val="0"/>
          <w:sz w:val="32"/>
          <w:szCs w:val="32"/>
          <w:u w:val="none"/>
        </w:rPr>
        <w:t>个工作日内及时更新相关公示内容。</w:t>
      </w:r>
    </w:p>
    <w:p w14:paraId="742FBFF9">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第二节 事后公开程序</w:t>
      </w:r>
    </w:p>
    <w:p w14:paraId="42109A88">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第十二条 公开行政许可决定应当及时、客观、准确、便民。</w:t>
      </w:r>
    </w:p>
    <w:p w14:paraId="3EFD328B">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第十三条 已经公开的原行政许可决定被依法撤销或者要求重新作出的，应当及时撤下公开的原行政许可信息，并作出必要的说明。</w:t>
      </w:r>
    </w:p>
    <w:p w14:paraId="43541237">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center"/>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第三节 公示机制</w:t>
      </w:r>
    </w:p>
    <w:p w14:paraId="2B76166D">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第十四条 构建分工明确、职责明晰、便捷高效的行政执法公示运行机制，相关科室要确定专人负责公示内容的梳理、汇总、传递、发布和更新工作。</w:t>
      </w:r>
    </w:p>
    <w:p w14:paraId="230D1935">
      <w:pPr>
        <w:pStyle w:val="2"/>
        <w:widowControl/>
        <w:pBdr>
          <w:top w:val="none" w:color="auto" w:sz="0" w:space="0"/>
          <w:left w:val="none" w:color="auto" w:sz="0" w:space="0"/>
          <w:bottom w:val="none" w:color="auto" w:sz="0" w:space="0"/>
          <w:right w:val="none" w:color="auto" w:sz="0" w:space="0"/>
        </w:pBdr>
        <w:spacing w:beforeAutospacing="0" w:after="150" w:afterAutospacing="0"/>
        <w:ind w:left="0" w:right="0" w:firstLine="0"/>
        <w:jc w:val="both"/>
        <w:rPr>
          <w:rFonts w:hint="default" w:ascii="微软雅黑" w:hAnsi="微软雅黑" w:eastAsia="微软雅黑" w:cs="微软雅黑"/>
          <w:i w:val="0"/>
          <w:caps w:val="0"/>
          <w:color w:val="5F5F5F"/>
          <w:spacing w:val="0"/>
          <w:sz w:val="32"/>
          <w:szCs w:val="32"/>
          <w:u w:val="none"/>
        </w:rPr>
      </w:pPr>
      <w:r>
        <w:rPr>
          <w:rFonts w:hint="eastAsia" w:ascii="宋体" w:hAnsi="宋体" w:eastAsia="宋体" w:cs="宋体"/>
          <w:i w:val="0"/>
          <w:caps w:val="0"/>
          <w:color w:val="5F5F5F"/>
          <w:spacing w:val="0"/>
          <w:sz w:val="32"/>
          <w:szCs w:val="32"/>
          <w:u w:val="none"/>
        </w:rPr>
        <w:t>　　第十五条 发现公开的行政许可信息不准确的，应当及时更正。公民、法人或者其他组织有证据证明公示的行政许可信息不准确的，有权要求予以更正，应及时处理。</w:t>
      </w:r>
    </w:p>
    <w:p w14:paraId="701F46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TkzZWIzM2EyMTZmODc2NjAzNDczNzk0MGVmNDIifQ=="/>
  </w:docVars>
  <w:rsids>
    <w:rsidRoot w:val="00000000"/>
    <w:rsid w:val="50C57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1373</Words>
  <Characters>1374</Characters>
  <Lines>0</Lines>
  <Paragraphs>0</Paragraphs>
  <TotalTime>3</TotalTime>
  <ScaleCrop>false</ScaleCrop>
  <LinksUpToDate>false</LinksUpToDate>
  <CharactersWithSpaces>1438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2024-07-03T02:22:00Z</dcterms:created>
  <dc:creator>iPad</dc:creator>
  <cp:lastModifiedBy>Administrator</cp:lastModifiedBy>
  <dcterms:modified xsi:type="dcterms:W3CDTF">2024-07-23T01:38:22Z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2A964C5949A101E6D9D483667E677226_31</vt:lpwstr>
  </property>
</Properties>
</file>