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抚松县沿江乡镇“首违不罚”事项清单</w:t>
      </w:r>
    </w:p>
    <w:bookmarkEnd w:id="0"/>
    <w:p>
      <w:pPr>
        <w:pStyle w:val="2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3"/>
        <w:tblW w:w="138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040"/>
        <w:gridCol w:w="2173"/>
        <w:gridCol w:w="1355"/>
        <w:gridCol w:w="3319"/>
        <w:gridCol w:w="4345"/>
        <w:gridCol w:w="10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处罚类型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处罚事项名称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实施机关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首违不罚的情形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首违不罚的依据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行政处罚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损坏村庄和集镇的房屋、公共设施的；乱堆粪便、垃圾、柴草，破坏村容镇貌和环境卫生的处罚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沿江乡人民政府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乱堆粪便、垃圾、柴草，破坏村容镇貌和环境卫生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  <w:t>情节较轻，在被发现后能在规定时间内处理完毕的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《村庄和集镇规划建设管理条例》第三十九条：有下列行为之一的，由乡级人民政府责令停止侵害，可以处以罚款；造成损失的，并应当赔偿：</w:t>
            </w:r>
          </w:p>
          <w:p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（一）损坏村庄和集镇的房屋、公共设施的；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（二）乱堆粪便、垃圾、柴草，破坏村容镇貌和环境卫生的。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4YzlkMjRkZTQyNGM2Y2RlMTdkZjM1YWJiZDJlMjgifQ=="/>
  </w:docVars>
  <w:rsids>
    <w:rsidRoot w:val="00000000"/>
    <w:rsid w:val="27BB4AC1"/>
    <w:rsid w:val="5BF1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267</Characters>
  <Lines>0</Lines>
  <Paragraphs>0</Paragraphs>
  <TotalTime>2</TotalTime>
  <ScaleCrop>false</ScaleCrop>
  <LinksUpToDate>false</LinksUpToDate>
  <CharactersWithSpaces>267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2024-07-23T01:06:00Z</dcterms:created>
  <dc:creator>86155</dc:creator>
  <cp:lastModifiedBy>（    ）</cp:lastModifiedBy>
  <dcterms:modified xsi:type="dcterms:W3CDTF">2024-08-01T06:21:31Z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466D04C245B043EF8BF0C6820F605220_13</vt:lpwstr>
  </property>
</Properties>
</file>