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兴参镇2023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年度行政执法统计年报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目   录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第一部分 </w:t>
      </w:r>
      <w:r>
        <w:rPr>
          <w:rFonts w:hint="eastAsia" w:ascii="仿宋" w:hAnsi="仿宋"/>
          <w:color w:val="333333"/>
          <w:kern w:val="0"/>
          <w:lang w:val="en-US" w:eastAsia="zh-CN"/>
        </w:rPr>
        <w:t>兴参镇2023</w:t>
      </w:r>
      <w:r>
        <w:rPr>
          <w:rFonts w:hint="eastAsia" w:ascii="仿宋" w:hAnsi="仿宋"/>
          <w:color w:val="333333"/>
          <w:kern w:val="0"/>
        </w:rPr>
        <w:t>年度行政执法数据表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一、行政处罚实施情况统计表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二、行政许可实施情况统计表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三、行政强制实施情况统计表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四、其他行政执法行为实施情况统计表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第二部分 </w:t>
      </w:r>
      <w:r>
        <w:rPr>
          <w:rFonts w:hint="eastAsia" w:ascii="仿宋" w:hAnsi="仿宋"/>
          <w:color w:val="333333"/>
          <w:kern w:val="0"/>
          <w:lang w:val="en-US" w:eastAsia="zh-CN"/>
        </w:rPr>
        <w:t>兴参镇2023</w:t>
      </w:r>
      <w:r>
        <w:rPr>
          <w:rFonts w:hint="eastAsia" w:ascii="仿宋" w:hAnsi="仿宋"/>
          <w:color w:val="333333"/>
          <w:kern w:val="0"/>
        </w:rPr>
        <w:t>年度行政执法总体情况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ind w:firstLine="210" w:firstLineChars="100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表一</w:t>
      </w:r>
    </w:p>
    <w:p>
      <w:pPr>
        <w:widowControl/>
        <w:shd w:val="clear" w:color="auto" w:fill="FFFFFF"/>
        <w:spacing w:line="525" w:lineRule="atLeast"/>
        <w:ind w:firstLine="720" w:firstLineChars="200"/>
        <w:jc w:val="both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兴参镇2023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年度行政处罚实施情况统计表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</w:t>
      </w:r>
    </w:p>
    <w:tbl>
      <w:tblPr>
        <w:tblStyle w:val="5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69"/>
        <w:gridCol w:w="1523"/>
        <w:gridCol w:w="1536"/>
        <w:gridCol w:w="826"/>
        <w:gridCol w:w="826"/>
        <w:gridCol w:w="1056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行政处罚实施数量（宗）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警告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、通报批评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罚款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、没收违法所得、没收非法财物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lang w:eastAsia="zh-CN"/>
              </w:rPr>
              <w:t>暂扣许可证件、降低资质等级、吊销许可证件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限制开展生产经营活动、责令停产停业、责令关闭、限制从业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行政拘留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其他行政处罚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合计（宗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罚没金额（万元）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表二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兴参镇2023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年度行政许可实施情况统计表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行政许可实施数量（宗）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受理数量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不予许可数量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hint="eastAsia" w:ascii="仿宋_GB2312" w:hAnsi="微软雅黑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表三</w:t>
      </w:r>
    </w:p>
    <w:p>
      <w:pPr>
        <w:widowControl/>
        <w:shd w:val="clear" w:color="auto" w:fill="FFFFFF"/>
        <w:spacing w:line="525" w:lineRule="atLeast"/>
        <w:ind w:firstLine="720" w:firstLineChars="200"/>
        <w:jc w:val="both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兴参镇2023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年度行政强制实施情况统计表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0"/>
        <w:gridCol w:w="710"/>
        <w:gridCol w:w="709"/>
        <w:gridCol w:w="709"/>
        <w:gridCol w:w="709"/>
        <w:gridCol w:w="709"/>
        <w:gridCol w:w="710"/>
        <w:gridCol w:w="709"/>
        <w:gridCol w:w="709"/>
        <w:gridCol w:w="719"/>
        <w:gridCol w:w="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行政强制措施实施数量（宗）</w:t>
            </w:r>
          </w:p>
        </w:tc>
        <w:tc>
          <w:tcPr>
            <w:tcW w:w="49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行政强制执行实施数量（宗）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查封场所、设施或者财物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扣押财物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冻结存款、汇款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其他行政强制措施</w:t>
            </w:r>
          </w:p>
        </w:tc>
        <w:tc>
          <w:tcPr>
            <w:tcW w:w="4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行政机关强制执行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申请法院强制执行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加处罚款或者滞纳金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划拨存款、汇款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拍卖或者依法处理查封、扣押的场所、设施或者财物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排除妨碍、恢复原状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代履行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表四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兴参镇2023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年度其他行政执法行为实施情况统计表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3"/>
        <w:gridCol w:w="774"/>
        <w:gridCol w:w="77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行政征收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行政检查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行政裁决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行政给付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行政确认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行政奖励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征收总金额（万元）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333333"/>
              </w:rPr>
            </w:pPr>
            <w:r>
              <w:rPr>
                <w:rStyle w:val="7"/>
                <w:rFonts w:hint="eastAsia" w:ascii="仿宋" w:hAnsi="仿宋" w:eastAsia="仿宋"/>
                <w:b w:val="0"/>
                <w:bCs w:val="0"/>
                <w:color w:val="333333"/>
              </w:rPr>
              <w:t>涉及金额</w:t>
            </w:r>
          </w:p>
          <w:p>
            <w:pPr>
              <w:pStyle w:val="3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hint="eastAsia" w:ascii="仿宋" w:hAnsi="仿宋" w:eastAsia="仿宋" w:cs="Times New Roman"/>
                <w:color w:val="333333"/>
              </w:rPr>
            </w:pPr>
            <w:r>
              <w:rPr>
                <w:rStyle w:val="7"/>
                <w:rFonts w:hint="eastAsia" w:ascii="仿宋" w:hAnsi="仿宋" w:eastAsia="仿宋"/>
                <w:b w:val="0"/>
                <w:bCs w:val="0"/>
                <w:color w:val="333333"/>
              </w:rPr>
              <w:t>（万元）</w:t>
            </w:r>
          </w:p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给付总金额（万元）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奖励总金额（万元）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44"/>
          <w:szCs w:val="4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44"/>
          <w:szCs w:val="44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44"/>
          <w:szCs w:val="44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</w:pPr>
    </w:p>
    <w:p>
      <w:pPr>
        <w:widowControl/>
        <w:shd w:val="clear" w:color="auto" w:fill="FFFFFF"/>
        <w:spacing w:line="525" w:lineRule="atLeast"/>
        <w:ind w:firstLine="1760" w:firstLineChars="400"/>
        <w:jc w:val="left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兴参镇2023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情况说明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</w:pPr>
    </w:p>
    <w:p>
      <w:pPr>
        <w:widowControl/>
        <w:shd w:val="clear" w:color="auto" w:fill="FFFFFF"/>
        <w:spacing w:line="555" w:lineRule="atLeast"/>
        <w:ind w:firstLine="640" w:firstLineChars="200"/>
        <w:jc w:val="left"/>
        <w:rPr>
          <w:rFonts w:hint="eastAsia" w:ascii="楷体" w:hAnsi="楷体" w:eastAsia="楷体"/>
          <w:color w:val="333333"/>
          <w:kern w:val="0"/>
        </w:rPr>
      </w:pPr>
      <w:bookmarkStart w:id="0" w:name="_GoBack"/>
      <w:bookmarkEnd w:id="0"/>
      <w:r>
        <w:rPr>
          <w:rFonts w:hint="eastAsia" w:ascii="楷体" w:hAnsi="楷体" w:eastAsia="楷体"/>
          <w:color w:val="333333"/>
          <w:kern w:val="0"/>
        </w:rPr>
        <w:t>一、行政处罚实施情况说明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年度行政处罚总数为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宗，罚没收入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年度行政处罚被申请行政复议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年度行政处罚直接被提起行政诉讼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二、行政许可实施情况说明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年度行政许可申请总数为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宗，予以许可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年度行政许可（含不予受理、予以许可和不予许可）被申请行政复议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年度行政许可（含不予受理、予以许可和不予许可）直接被提起行政诉讼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三、行政强制实施情况说明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年度行政强制总数为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年度行政强制被申请行政复议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年度行政强制直接被提起行政诉讼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四、行政征收实施情况说明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年度行政征收总数为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次，征收总金额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年度行政征收被申请行政复议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年度行政征收直接被提起行政诉讼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%，占行政征收总数的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五、行政检查实施情况说明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年度行政检查总数为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7</w:t>
      </w:r>
      <w:r>
        <w:rPr>
          <w:rFonts w:hint="eastAsia" w:ascii="仿宋" w:hAnsi="仿宋"/>
          <w:color w:val="333333"/>
          <w:kern w:val="0"/>
        </w:rPr>
        <w:t>次。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年度行政检查被申请行政复议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年度行政检查直接被提起行政诉讼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六、行政裁决实施情况说明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年度行政裁决总数为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次，涉及总金额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七、行政给付实施情况说明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年度行政给付总数为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次，给付总金额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年度行政给付被申请行政复议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宗，判决履行法定职责、履行给付职责、撤销、部分撤销、变更、确认违法或者确认无效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年度行政给付直接被提起行政诉讼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%；判决履行法定职责、履行给付职责、撤销、部分撤销、变更、确认违法或者确认无效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%，占行政给付总数的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八、行政确认实施情况说明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年度行政确认总数为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年度行政确认被申请行政复议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年度行政确认直接被提起行政诉讼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九、行政奖励实施情况说明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年度行政奖励总数为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年度行政奖励被申请行政复议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年度行政奖励直接被提起行政诉讼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%，占行政奖励总数的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十、其他行政执法行为实施情况说明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年度其他行政执法行为总数为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年度其他行政执法行为被申请行政复议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年度其他行政执法行为直接被提起行政诉讼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/>
        </w:rPr>
      </w:pPr>
    </w:p>
    <w:p>
      <w:pPr>
        <w:widowControl/>
        <w:shd w:val="clear" w:color="auto" w:fill="FFFFFF"/>
        <w:spacing w:line="555" w:lineRule="atLeast"/>
        <w:ind w:firstLine="4800" w:firstLineChars="15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兴参镇人民政府</w:t>
      </w:r>
    </w:p>
    <w:p>
      <w:pPr>
        <w:widowControl/>
        <w:shd w:val="clear" w:color="auto" w:fill="FFFFFF"/>
        <w:spacing w:line="555" w:lineRule="atLeast"/>
        <w:ind w:firstLine="4800" w:firstLineChars="15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2024年3月19日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902564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NmIxZDdiYjkwNjA0MTQzY2MwMjJmZjlmMmE3YWYifQ=="/>
  </w:docVars>
  <w:rsids>
    <w:rsidRoot w:val="6EF5716B"/>
    <w:rsid w:val="37962FCA"/>
    <w:rsid w:val="6EF5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15"/>
    <w:basedOn w:val="6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2024-03-19T01:42:00Z</dcterms:created>
  <dc:creator>lenovo</dc:creator>
  <cp:lastModifiedBy>lenovo</cp:lastModifiedBy>
  <dcterms:modified xsi:type="dcterms:W3CDTF">2024-03-19T04:48:20Z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8E7B7928919E4300B87CACA66F6FDB96_11</vt:lpwstr>
  </property>
</Properties>
</file>