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bookmarkStart w:id="0" w:name="_GoBack"/>
      <w:r>
        <w:rPr>
          <w:rFonts w:hint="eastAsia" w:asciiTheme="majorEastAsia" w:hAnsiTheme="majorEastAsia" w:eastAsiaTheme="majorEastAsia" w:cstheme="majorEastAsia"/>
          <w:b/>
          <w:bCs/>
          <w:sz w:val="44"/>
          <w:szCs w:val="44"/>
          <w:lang w:val="en-US" w:eastAsia="zh-CN"/>
        </w:rPr>
        <w:t>抚松县司法局行政执法事项清单</w:t>
      </w:r>
    </w:p>
    <w:bookmarkEnd w:id="0"/>
    <w:tbl>
      <w:tblPr>
        <w:tblStyle w:val="3"/>
        <w:tblW w:w="10788"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848"/>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90" w:hRule="atLeast"/>
        </w:trPr>
        <w:tc>
          <w:tcPr>
            <w:tcW w:w="1848" w:type="dxa"/>
          </w:tcPr>
          <w:p>
            <w:pPr>
              <w:jc w:val="both"/>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检查事项</w:t>
            </w:r>
          </w:p>
        </w:tc>
        <w:tc>
          <w:tcPr>
            <w:tcW w:w="8940" w:type="dxa"/>
          </w:tcPr>
          <w:p>
            <w:p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对律师事务所、律师的监督检查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70" w:hRule="atLeast"/>
        </w:trPr>
        <w:tc>
          <w:tcPr>
            <w:tcW w:w="1848" w:type="dxa"/>
          </w:tcPr>
          <w:p>
            <w:pPr>
              <w:jc w:val="both"/>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检查主体</w:t>
            </w:r>
          </w:p>
        </w:tc>
        <w:tc>
          <w:tcPr>
            <w:tcW w:w="8940" w:type="dxa"/>
          </w:tcPr>
          <w:p>
            <w:pPr>
              <w:jc w:val="both"/>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司法行政部门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34" w:hRule="atLeast"/>
        </w:trPr>
        <w:tc>
          <w:tcPr>
            <w:tcW w:w="1848" w:type="dxa"/>
          </w:tcPr>
          <w:p>
            <w:pPr>
              <w:jc w:val="both"/>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检查对象</w:t>
            </w:r>
          </w:p>
        </w:tc>
        <w:tc>
          <w:tcPr>
            <w:tcW w:w="8940" w:type="dxa"/>
          </w:tcPr>
          <w:p>
            <w:pPr>
              <w:jc w:val="both"/>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律师事务所、律师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136" w:hRule="atLeast"/>
        </w:trPr>
        <w:tc>
          <w:tcPr>
            <w:tcW w:w="1848" w:type="dxa"/>
          </w:tcPr>
          <w:p>
            <w:pPr>
              <w:jc w:val="both"/>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检查依据</w:t>
            </w:r>
          </w:p>
        </w:tc>
        <w:tc>
          <w:tcPr>
            <w:tcW w:w="8940" w:type="dxa"/>
          </w:tcPr>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1.《中华人民共和国律师法》</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第四条 司法行政部门依照本法对律师、律师事务所和律师协会进行监督、指导。</w:t>
            </w:r>
          </w:p>
          <w:p>
            <w:pPr>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第五十二条 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2.《律师事务所管理办法》</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第六十四条 县级司法行政机关对本行政区域内的律师事务所的执业活动进行日常监督管理，履行下列职责： （一）监督律师事务所在开展业务活动过程中遵守法律、法规、规章的情况； （二）监督律师事务所执业和内部管理制度的建立和实施情况； （三）监督律师事务所保持法定设立条件以及变更报批或者备案的执行情况； （四）监督律师事务所进行清算、申请注销的情况； （五）监督律师事务所开展律师执业年度考核和上报年度执业总结的情况； （六）受理对律师事务所的举报和投诉； （七）监督律师事务所履行行政处罚和实行整改的情况； （八）司法部和省、自治区、直辖市司法行政机关规定的其他职责。 县级司法行政机关在开展日常监督管理过程中，对发现、查实的律师事务所在执业和内部管理方面存在的问题，应当对律师事务所负责人或者有关律师进行警示谈话，责令改正，并对其整改情况进行监督；对律师事务所的违法行为认为依法应当给予行政处罚的，应当向上一级司法行政机关提出处罚建议；认为需要给予行业惩戒的，移送律师协会处理。 </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3.《律师执业管理办法》</w:t>
            </w:r>
          </w:p>
          <w:p>
            <w:pPr>
              <w:ind w:firstLine="420" w:firstLineChars="200"/>
              <w:rPr>
                <w:rFonts w:hint="eastAsia" w:ascii="仿宋" w:hAnsi="仿宋" w:eastAsia="仿宋" w:cs="仿宋"/>
                <w:b w:val="0"/>
                <w:bCs w:val="0"/>
                <w:sz w:val="28"/>
                <w:szCs w:val="28"/>
                <w:vertAlign w:val="baseline"/>
                <w:lang w:val="en-US" w:eastAsia="zh-CN"/>
              </w:rPr>
            </w:pPr>
            <w:r>
              <w:rPr>
                <w:rFonts w:hint="eastAsia" w:ascii="仿宋" w:hAnsi="仿宋" w:eastAsia="仿宋" w:cs="仿宋"/>
                <w:sz w:val="21"/>
                <w:szCs w:val="21"/>
                <w:lang w:val="en-US" w:eastAsia="zh-CN"/>
              </w:rPr>
              <w:t xml:space="preserve">第五十条 县级司法行政机关对其执业机构在本行政区域的律师的执业活动进行日常监督管理，履行下列职责： （一）检查、监督律师在执业活动中遵守法律、法规、规章和职业道德、执业纪律的情况； （二）受理对律师的举报和投诉； （三）监督律师履行行政处罚和实行整改的情况； （四）掌握律师事务所对律师执业年度考核的情况； （五）司法部和省、自治区、直辖市司法行政机关规定的其他职责。 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80" w:hRule="atLeast"/>
        </w:trPr>
        <w:tc>
          <w:tcPr>
            <w:tcW w:w="1848" w:type="dxa"/>
          </w:tcPr>
          <w:p>
            <w:pPr>
              <w:jc w:val="both"/>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检查要点</w:t>
            </w:r>
          </w:p>
        </w:tc>
        <w:tc>
          <w:tcPr>
            <w:tcW w:w="8940" w:type="dxa"/>
          </w:tcPr>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1.律师队伍建设情况</w:t>
            </w:r>
          </w:p>
          <w:p>
            <w:p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2.业务活动开展情况</w:t>
            </w:r>
          </w:p>
          <w:p>
            <w:p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3.律师执业表现情况</w:t>
            </w:r>
          </w:p>
          <w:p>
            <w:p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4.内部管理情况</w:t>
            </w:r>
          </w:p>
          <w:p>
            <w:p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5.受行政奖惩、行政奖励的情况</w:t>
            </w:r>
          </w:p>
          <w:p>
            <w:p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6.履行律师协会会员义务的情况</w:t>
            </w:r>
          </w:p>
          <w:p>
            <w:pPr>
              <w:rPr>
                <w:rFonts w:hint="default" w:ascii="仿宋" w:hAnsi="仿宋" w:eastAsia="仿宋" w:cs="仿宋"/>
                <w:b w:val="0"/>
                <w:bCs w:val="0"/>
                <w:sz w:val="28"/>
                <w:szCs w:val="28"/>
                <w:vertAlign w:val="baseline"/>
                <w:lang w:val="en-US" w:eastAsia="zh-CN"/>
              </w:rPr>
            </w:pPr>
            <w:r>
              <w:rPr>
                <w:rFonts w:hint="eastAsia" w:ascii="仿宋" w:hAnsi="仿宋" w:eastAsia="仿宋" w:cs="仿宋"/>
                <w:sz w:val="21"/>
                <w:szCs w:val="21"/>
                <w:lang w:val="en-US" w:eastAsia="zh-CN"/>
              </w:rPr>
              <w:t>7.根据需要认为应当检查考核的其他事项</w:t>
            </w:r>
          </w:p>
        </w:tc>
      </w:tr>
    </w:tbl>
    <w:p>
      <w:pPr>
        <w:jc w:val="both"/>
        <w:rPr>
          <w:rFonts w:hint="eastAsia" w:asciiTheme="majorEastAsia" w:hAnsiTheme="majorEastAsia" w:eastAsiaTheme="majorEastAsia" w:cstheme="majorEastAsia"/>
          <w:b/>
          <w:bCs/>
          <w:sz w:val="44"/>
          <w:szCs w:val="44"/>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YmJmZjhmYmE2MDFiYzY0NTUxMmQyZTA2YjM4NGQifQ=="/>
  </w:docVars>
  <w:rsids>
    <w:rsidRoot w:val="00000000"/>
    <w:rsid w:val="47217418"/>
    <w:rsid w:val="4D1F77E0"/>
    <w:rsid w:val="5B0D0D1D"/>
    <w:rsid w:val="5C9D2178"/>
    <w:rsid w:val="77592316"/>
    <w:rsid w:val="777C3DD9"/>
    <w:rsid w:val="780C5381"/>
    <w:rsid w:val="7F3B5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2023-03-20T06:04:00Z</dcterms:created>
  <dc:creator>78793</dc:creator>
  <cp:lastModifiedBy>普法与依法治理科</cp:lastModifiedBy>
  <dcterms:modified xsi:type="dcterms:W3CDTF">2024-01-15T01:24:28Z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CF7E75B4E1364B9CABCB0935B6FF0129_13</vt:lpwstr>
  </property>
</Properties>
</file>