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8" w:tblpY="1413"/>
        <w:tblOverlap w:val="never"/>
        <w:tblW w:w="165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300" w:type="dxa"/>
          <w:left w:w="0" w:type="dxa"/>
          <w:bottom w:w="225" w:type="dxa"/>
          <w:right w:w="0" w:type="dxa"/>
        </w:tblCellMar>
      </w:tblPr>
      <w:tblGrid>
        <w:gridCol w:w="16500"/>
      </w:tblGrid>
      <w:tr w14:paraId="504E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300" w:type="dxa"/>
            <w:left w:w="0" w:type="dxa"/>
            <w:bottom w:w="225" w:type="dxa"/>
            <w:right w:w="0" w:type="dxa"/>
          </w:tblCellMar>
        </w:tblPrEx>
        <w:trPr>
          <w:tblCellSpacing w:w="0" w:type="dxa"/>
        </w:trPr>
        <w:tc>
          <w:tcPr>
            <w:tcW w:w="0" w:type="auto"/>
            <w:shd w:val="clear" w:color="auto" w:fill="FFFFFF"/>
            <w:vAlign w:val="center"/>
          </w:tcPr>
          <w:p w14:paraId="3392EA8C">
            <w:pPr>
              <w:keepNext w:val="0"/>
              <w:keepLines w:val="0"/>
              <w:widowControl/>
              <w:suppressLineNumbers w:val="0"/>
              <w:spacing w:line="375" w:lineRule="atLeast"/>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kern w:val="0"/>
                <w:sz w:val="36"/>
                <w:szCs w:val="36"/>
                <w:lang w:val="en-US" w:eastAsia="zh-CN" w:bidi="ar"/>
              </w:rPr>
              <w:t xml:space="preserve">吉林省人力资源社会保障部门 </w:t>
            </w:r>
            <w:bookmarkStart w:id="0" w:name="_GoBack"/>
            <w:r>
              <w:rPr>
                <w:rFonts w:hint="eastAsia" w:ascii="微软雅黑" w:hAnsi="微软雅黑" w:eastAsia="微软雅黑" w:cs="微软雅黑"/>
                <w:b/>
                <w:bCs/>
                <w:i w:val="0"/>
                <w:iCs w:val="0"/>
                <w:caps w:val="0"/>
                <w:color w:val="000000"/>
                <w:spacing w:val="0"/>
                <w:kern w:val="0"/>
                <w:sz w:val="36"/>
                <w:szCs w:val="36"/>
                <w:lang w:val="en-US" w:eastAsia="zh-CN" w:bidi="ar"/>
              </w:rPr>
              <w:t>实施行政处罚裁量权规定</w:t>
            </w:r>
            <w:bookmarkEnd w:id="0"/>
          </w:p>
        </w:tc>
      </w:tr>
    </w:tbl>
    <w:p w14:paraId="7157B966">
      <w:pPr>
        <w:rPr>
          <w:vanish/>
          <w:sz w:val="24"/>
          <w:szCs w:val="24"/>
        </w:rPr>
      </w:pPr>
    </w:p>
    <w:tbl>
      <w:tblPr>
        <w:tblW w:w="165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500"/>
      </w:tblGrid>
      <w:tr w14:paraId="0A66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Style w:val="3"/>
              <w:tblpPr w:leftFromText="180" w:rightFromText="180" w:vertAnchor="text" w:horzAnchor="page" w:tblpX="-17" w:tblpY="261"/>
              <w:tblOverlap w:val="never"/>
              <w:tblW w:w="13827"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0" w:type="dxa"/>
                <w:left w:w="300" w:type="dxa"/>
                <w:bottom w:w="225" w:type="dxa"/>
                <w:right w:w="150" w:type="dxa"/>
              </w:tblCellMar>
            </w:tblPr>
            <w:tblGrid>
              <w:gridCol w:w="13827"/>
            </w:tblGrid>
            <w:tr w14:paraId="423FB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0" w:type="dxa"/>
                  <w:left w:w="300" w:type="dxa"/>
                  <w:bottom w:w="225" w:type="dxa"/>
                  <w:right w:w="150" w:type="dxa"/>
                </w:tblCellMar>
              </w:tblPrEx>
              <w:trPr>
                <w:tblCellSpacing w:w="0" w:type="dxa"/>
              </w:trPr>
              <w:tc>
                <w:tcPr>
                  <w:tcW w:w="13827" w:type="dxa"/>
                  <w:shd w:val="clear" w:color="auto" w:fill="FFFFFF"/>
                  <w:vAlign w:val="center"/>
                </w:tcPr>
                <w:p w14:paraId="6CEF0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xml:space="preserve">                                  </w:t>
                  </w:r>
                </w:p>
                <w:p w14:paraId="503C71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ascii="CESI黑体-GB13000" w:hAnsi="CESI黑体-GB13000" w:eastAsia="CESI黑体-GB13000" w:cs="CESI黑体-GB13000"/>
                      <w:i w:val="0"/>
                      <w:iCs w:val="0"/>
                      <w:caps w:val="0"/>
                      <w:color w:val="000000"/>
                      <w:spacing w:val="0"/>
                      <w:kern w:val="0"/>
                      <w:sz w:val="32"/>
                      <w:szCs w:val="32"/>
                      <w:lang w:val="en-US" w:eastAsia="zh-CN" w:bidi="ar"/>
                    </w:rPr>
                    <w:t> </w:t>
                  </w:r>
                </w:p>
                <w:p w14:paraId="2AA23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总则</w:t>
                  </w:r>
                </w:p>
                <w:p w14:paraId="45AEE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ascii="仿宋_GB2312" w:hAnsi="Times New Roman" w:eastAsia="仿宋_GB2312" w:cs="仿宋_GB2312"/>
                      <w:b/>
                      <w:bCs/>
                      <w:i w:val="0"/>
                      <w:iCs w:val="0"/>
                      <w:caps w:val="0"/>
                      <w:color w:val="000000"/>
                      <w:spacing w:val="0"/>
                      <w:kern w:val="0"/>
                      <w:sz w:val="32"/>
                      <w:szCs w:val="32"/>
                      <w:lang w:val="en-US" w:eastAsia="zh-CN" w:bidi="ar"/>
                    </w:rPr>
                    <w:t>第一条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为规范人力资源社会保障行政处罚行为，统一处罚标准，维护劳动者和行政相对人的合法权益，根据《中华人民共和国行政处罚法》《中华人民共和国社会保险法》《中华人民共和国劳动合同法》等法律法规和规章的规定，结合实际，制定本规定。</w:t>
                  </w:r>
                </w:p>
                <w:p w14:paraId="6D7327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第二条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吉林省人力资源社会保障系统各级行政执法机关、法律法规授权组织以及依法受委托组织依法实施行政处罚，应当遵守本规定。</w:t>
                  </w:r>
                </w:p>
                <w:p w14:paraId="423B84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第三条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本规定所称行政处罚裁量权，是指吉林省各级人力资源社会保障部门在法定行政处罚权限范围内，根据违法的事实、性质、情节和社会危害程度，对违法行为人是否给予行政处罚、给予何种行政处罚和给予何种幅度行政处罚进行裁量的权限。</w:t>
                  </w:r>
                </w:p>
                <w:p w14:paraId="132F2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color w:val="000000"/>
                      <w:sz w:val="21"/>
                      <w:szCs w:val="21"/>
                    </w:rPr>
                  </w:pPr>
                  <w:r>
                    <w:rPr>
                      <w:rFonts w:hint="default" w:ascii="仿宋_GB2312" w:hAnsi="Times New Roman" w:eastAsia="仿宋_GB2312" w:cs="仿宋_GB2312"/>
                      <w:i w:val="0"/>
                      <w:iCs w:val="0"/>
                      <w:caps w:val="0"/>
                      <w:color w:val="000000"/>
                      <w:spacing w:val="0"/>
                      <w:kern w:val="0"/>
                      <w:sz w:val="32"/>
                      <w:szCs w:val="32"/>
                      <w:lang w:val="en-US" w:eastAsia="zh-CN" w:bidi="ar"/>
                    </w:rPr>
                    <w:t>本制度所称行政处罚裁量权规定，是指全省人力资源社会保障部门结合本地区本部门行政管理实际，按照裁量涉及的不同事实和情节，对法律法规、规章中的原则性规定或者具有一定弹性的执法权限、裁量幅度等内容进行细化量化，以特定形式向社会公布并施行的具体执法尺度和基准。</w:t>
                  </w:r>
                </w:p>
                <w:p w14:paraId="3338B0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第四条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不同的法律法规和规章对同一违法行为的规定不一致，其适用应当遵循《中华人民共和国立法法》《中华人民共和国行政处罚法》等有关上位法的规定。</w:t>
                  </w:r>
                </w:p>
                <w:p w14:paraId="78FD4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ascii="方正仿宋_GBK" w:hAnsi="方正仿宋_GBK" w:eastAsia="方正仿宋_GBK" w:cs="方正仿宋_GBK"/>
                      <w:i w:val="0"/>
                      <w:iCs w:val="0"/>
                      <w:caps w:val="0"/>
                      <w:color w:val="000000"/>
                      <w:spacing w:val="0"/>
                      <w:kern w:val="0"/>
                      <w:sz w:val="32"/>
                      <w:szCs w:val="32"/>
                      <w:lang w:val="en-US" w:eastAsia="zh-CN" w:bidi="ar"/>
                    </w:rPr>
                    <w:t> </w:t>
                  </w:r>
                </w:p>
                <w:p w14:paraId="49506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eastAsia" w:ascii="黑体" w:hAnsi="宋体" w:eastAsia="黑体" w:cs="黑体"/>
                      <w:i w:val="0"/>
                      <w:iCs w:val="0"/>
                      <w:caps w:val="0"/>
                      <w:color w:val="000000"/>
                      <w:spacing w:val="0"/>
                      <w:kern w:val="0"/>
                      <w:sz w:val="32"/>
                      <w:szCs w:val="32"/>
                      <w:lang w:val="en-US" w:eastAsia="zh-CN" w:bidi="ar"/>
                    </w:rPr>
                    <w:t>第二章  裁量权的适用原则</w:t>
                  </w:r>
                </w:p>
                <w:p w14:paraId="77FC8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第五条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行使裁量权应当坚持以下原则：</w:t>
                  </w:r>
                </w:p>
                <w:p w14:paraId="728D3F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color w:val="000000"/>
                      <w:sz w:val="21"/>
                      <w:szCs w:val="21"/>
                    </w:rPr>
                  </w:pPr>
                  <w:r>
                    <w:rPr>
                      <w:rFonts w:hint="default" w:ascii="仿宋_GB2312" w:hAnsi="Times New Roman" w:eastAsia="仿宋_GB2312" w:cs="仿宋_GB2312"/>
                      <w:i w:val="0"/>
                      <w:iCs w:val="0"/>
                      <w:caps w:val="0"/>
                      <w:color w:val="000000"/>
                      <w:spacing w:val="0"/>
                      <w:kern w:val="0"/>
                      <w:sz w:val="32"/>
                      <w:szCs w:val="32"/>
                      <w:lang w:val="en-US" w:eastAsia="zh-CN" w:bidi="ar"/>
                    </w:rPr>
                    <w:t>（一）合法性原则。行使裁量权，应当严格在法律法规和规章规定的范围内进行，应当符合设定该项行政处罚的法律法规和规章的立法目的。</w:t>
                  </w:r>
                </w:p>
                <w:p w14:paraId="74B019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color w:val="000000"/>
                      <w:sz w:val="21"/>
                      <w:szCs w:val="21"/>
                    </w:rPr>
                  </w:pPr>
                  <w:r>
                    <w:rPr>
                      <w:rFonts w:hint="default" w:ascii="仿宋_GB2312" w:hAnsi="Times New Roman" w:eastAsia="仿宋_GB2312" w:cs="仿宋_GB2312"/>
                      <w:i w:val="0"/>
                      <w:iCs w:val="0"/>
                      <w:caps w:val="0"/>
                      <w:color w:val="000000"/>
                      <w:spacing w:val="0"/>
                      <w:kern w:val="0"/>
                      <w:sz w:val="32"/>
                      <w:szCs w:val="32"/>
                      <w:lang w:val="en-US" w:eastAsia="zh-CN" w:bidi="ar"/>
                    </w:rPr>
                    <w:t>（二）公平公正原则。行使处罚裁量权应当平等对待被处罚的当事人，不得以外在因素差别对待违法主体。对违法事实、性质、情节以及所造成的社会危害程度相当的违法当事人实施行政处罚时，适用的法律依据、处罚种类和幅度应当基本一致。对同一案件的多个违法主体实施行政处罚时，应当区分不同情节及其在违法活动中所起的作用，分别确定相应的处罚种类和处罚幅度。</w:t>
                  </w:r>
                </w:p>
                <w:p w14:paraId="171C5C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color w:val="000000"/>
                      <w:sz w:val="21"/>
                      <w:szCs w:val="21"/>
                    </w:rPr>
                  </w:pPr>
                  <w:r>
                    <w:rPr>
                      <w:rFonts w:hint="default" w:ascii="仿宋_GB2312" w:hAnsi="Times New Roman" w:eastAsia="仿宋_GB2312" w:cs="仿宋_GB2312"/>
                      <w:i w:val="0"/>
                      <w:iCs w:val="0"/>
                      <w:caps w:val="0"/>
                      <w:color w:val="000000"/>
                      <w:spacing w:val="0"/>
                      <w:kern w:val="0"/>
                      <w:sz w:val="32"/>
                      <w:szCs w:val="32"/>
                      <w:lang w:val="en-US" w:eastAsia="zh-CN" w:bidi="ar"/>
                    </w:rPr>
                    <w:t>（三）过罚相当原则。行使处罚裁量权，必须与违法行为的事实、性质、情节以及所造成的社会危害程度相当，综合考虑法律因素和事实因素，禁止处罚畸轻畸重、重责轻罚、轻责重罚。</w:t>
                  </w:r>
                </w:p>
                <w:p w14:paraId="57C41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color w:val="000000"/>
                      <w:sz w:val="21"/>
                      <w:szCs w:val="21"/>
                    </w:rPr>
                  </w:pPr>
                  <w:r>
                    <w:rPr>
                      <w:rFonts w:hint="default" w:ascii="仿宋_GB2312" w:hAnsi="Times New Roman" w:eastAsia="仿宋_GB2312" w:cs="仿宋_GB2312"/>
                      <w:i w:val="0"/>
                      <w:iCs w:val="0"/>
                      <w:caps w:val="0"/>
                      <w:color w:val="000000"/>
                      <w:spacing w:val="0"/>
                      <w:kern w:val="0"/>
                      <w:sz w:val="32"/>
                      <w:szCs w:val="32"/>
                      <w:lang w:val="en-US" w:eastAsia="zh-CN" w:bidi="ar"/>
                    </w:rPr>
                    <w:t>（四）程序正当原则。行使行政处罚裁量权，应当遵循法定程序，告知当事人作出行政处罚决定的事实、理由、依据及裁量标准，认真听取当事人的陈述和申辩，告知当事人依法享有的权利。对当事人提出的事实、理由和证据应当进行复核，当事人提出的事实、理由或者证据成立的，应予采纳。符合听证条件的，应当履行听证程序。</w:t>
                  </w:r>
                </w:p>
                <w:p w14:paraId="2AE69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color w:val="000000"/>
                      <w:sz w:val="21"/>
                      <w:szCs w:val="21"/>
                    </w:rPr>
                  </w:pPr>
                  <w:r>
                    <w:rPr>
                      <w:rFonts w:hint="default" w:ascii="仿宋_GB2312" w:hAnsi="Times New Roman" w:eastAsia="仿宋_GB2312" w:cs="仿宋_GB2312"/>
                      <w:i w:val="0"/>
                      <w:iCs w:val="0"/>
                      <w:caps w:val="0"/>
                      <w:color w:val="000000"/>
                      <w:spacing w:val="0"/>
                      <w:kern w:val="0"/>
                      <w:sz w:val="32"/>
                      <w:szCs w:val="32"/>
                      <w:lang w:val="en-US" w:eastAsia="zh-CN" w:bidi="ar"/>
                    </w:rPr>
                    <w:t>（五）处罚与教育并重原则。行使行政处罚裁量权，应当既制裁违法行为，又要教育当事人自觉守法、自我纠正。</w:t>
                  </w:r>
                </w:p>
                <w:p w14:paraId="1983F1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第六条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行政相对人被同时发现有两个以上应当给予行政处罚的违法行为的，应当适用相关法律条款规定，分别裁量，可以分别出具行政处罚决定书。</w:t>
                  </w:r>
                </w:p>
                <w:p w14:paraId="1DECA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第七条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适用裁量权规定作出处罚决定时，应当在行政处罚决定书中阐明违法的具体事实、情节和作出处罚决定所适用的明确法律依据。</w:t>
                  </w:r>
                </w:p>
                <w:p w14:paraId="7F702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default" w:ascii="CESI黑体-GB13000" w:hAnsi="CESI黑体-GB13000" w:eastAsia="CESI黑体-GB13000" w:cs="CESI黑体-GB13000"/>
                      <w:i w:val="0"/>
                      <w:iCs w:val="0"/>
                      <w:caps w:val="0"/>
                      <w:color w:val="000000"/>
                      <w:spacing w:val="0"/>
                      <w:kern w:val="0"/>
                      <w:sz w:val="32"/>
                      <w:szCs w:val="32"/>
                      <w:lang w:val="en-US" w:eastAsia="zh-CN" w:bidi="ar"/>
                    </w:rPr>
                    <w:t> </w:t>
                  </w:r>
                </w:p>
                <w:p w14:paraId="1A0A7A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eastAsia" w:ascii="黑体" w:hAnsi="宋体" w:eastAsia="黑体" w:cs="黑体"/>
                      <w:i w:val="0"/>
                      <w:iCs w:val="0"/>
                      <w:caps w:val="0"/>
                      <w:color w:val="000000"/>
                      <w:spacing w:val="0"/>
                      <w:kern w:val="0"/>
                      <w:sz w:val="32"/>
                      <w:szCs w:val="32"/>
                      <w:lang w:val="en-US" w:eastAsia="zh-CN" w:bidi="ar"/>
                    </w:rPr>
                    <w:t>第三章  裁量权的适用标准</w:t>
                  </w:r>
                </w:p>
                <w:p w14:paraId="3813E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第八条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人力资源社会保障部门对违法行为轻微并及时改正，没有造成危害后果的，能够主动配合调查和接受教育，并按要求在规定时限完成整改，不予处罚。</w:t>
                  </w:r>
                </w:p>
                <w:p w14:paraId="4D9295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第九条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对于情节轻微的首次违法违规行为，在未造成较大社会影响或危害后果，行政相对人主动配合调查和接受教育，并在规定时限完成整改的前提下，对行政相对人可以免予处罚。</w:t>
                  </w:r>
                </w:p>
                <w:p w14:paraId="54D06E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对于依法必须进行处罚的违法行为，在行政相对人主动配合调查，并在处罚决定作出前承诺在规定时限内达到整改要求的，要适当裁量，可以减轻处罚，适用最低的处罚标准。</w:t>
                  </w:r>
                </w:p>
                <w:p w14:paraId="241EF9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第十一条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根据人力资源社会保障违法行为的情节、侵害对象人数、违法行为持续的时间、涉案金额、危害后果的轻重等，将决定予以处罚的违法行为主要分为三档：情节较轻、情节较重和情节严重。</w:t>
                  </w:r>
                </w:p>
                <w:p w14:paraId="3CFF1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第十二条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依法应当减轻处罚的，在原情节的处罚标准的下一档内实施；依法应当从轻处罚的，在原情节的处罚标准内较低档次实施。</w:t>
                  </w:r>
                </w:p>
                <w:p w14:paraId="3F963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第十三条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人力资源社会保障行政部门不得因当事人申辩而从重或者加重对行政相对人的处罚。</w:t>
                  </w:r>
                </w:p>
                <w:p w14:paraId="7D7DB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default" w:ascii="CESI黑体-GB13000" w:hAnsi="CESI黑体-GB13000" w:eastAsia="CESI黑体-GB13000" w:cs="CESI黑体-GB13000"/>
                      <w:i w:val="0"/>
                      <w:iCs w:val="0"/>
                      <w:caps w:val="0"/>
                      <w:color w:val="000000"/>
                      <w:spacing w:val="0"/>
                      <w:kern w:val="0"/>
                      <w:sz w:val="32"/>
                      <w:szCs w:val="32"/>
                      <w:lang w:val="en-US" w:eastAsia="zh-CN" w:bidi="ar"/>
                    </w:rPr>
                    <w:t> </w:t>
                  </w:r>
                </w:p>
                <w:p w14:paraId="793CC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eastAsia" w:ascii="黑体" w:hAnsi="宋体" w:eastAsia="黑体" w:cs="黑体"/>
                      <w:i w:val="0"/>
                      <w:iCs w:val="0"/>
                      <w:caps w:val="0"/>
                      <w:color w:val="000000"/>
                      <w:spacing w:val="0"/>
                      <w:kern w:val="0"/>
                      <w:sz w:val="32"/>
                      <w:szCs w:val="32"/>
                      <w:lang w:val="en-US" w:eastAsia="zh-CN" w:bidi="ar"/>
                    </w:rPr>
                    <w:t>第四章  工作流程及相关规定</w:t>
                  </w:r>
                </w:p>
                <w:p w14:paraId="70AAE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第十四条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实行审核制度。案件调查终结后，案件主办行政执法人员应当对拟作出行政处罚的种类和幅度提出建议，并说明行使裁量权的事实、理由和依据，对于依法需要履行法制审核的，应当履行法制审核程序。</w:t>
                  </w:r>
                </w:p>
                <w:p w14:paraId="4B11E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第十五条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各级人力资源社会保障部门办理的行政处罚案卷中要体现适用行政处罚裁量制度情况，应在调查终结报告、案件集体讨论记录、行政处罚事先告知书和行政处罚决定书中进行表述，最大限度地详细引用。</w:t>
                  </w:r>
                </w:p>
                <w:p w14:paraId="7358DF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第十六条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行政执法中应当推广运用提示、示范、辅导、引导、规劝、约谈、建议等行政指导方式，并灵活运用口头或书面形式引导行政相对人自觉守法、主动纠正违法行为。</w:t>
                  </w:r>
                </w:p>
                <w:p w14:paraId="6E5B02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第十七条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实行适时评估修订制度。行政行为所依据的法律法规、规章发生改变，或者实施行政行为时实际情况发生变化，应对行政处罚裁量权标准适时进行评估、修订、调整和完善。</w:t>
                  </w:r>
                </w:p>
                <w:p w14:paraId="59B09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default" w:ascii="Times New Roman" w:hAnsi="Times New Roman" w:eastAsia="微软雅黑" w:cs="Times New Roman"/>
                      <w:i w:val="0"/>
                      <w:iCs w:val="0"/>
                      <w:caps w:val="0"/>
                      <w:color w:val="000000"/>
                      <w:spacing w:val="0"/>
                      <w:kern w:val="0"/>
                      <w:sz w:val="32"/>
                      <w:szCs w:val="32"/>
                      <w:lang w:val="en-US" w:eastAsia="zh-CN" w:bidi="ar"/>
                    </w:rPr>
                    <w:t> </w:t>
                  </w:r>
                </w:p>
                <w:p w14:paraId="7ECA3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eastAsia" w:ascii="黑体" w:hAnsi="宋体" w:eastAsia="黑体" w:cs="黑体"/>
                      <w:i w:val="0"/>
                      <w:iCs w:val="0"/>
                      <w:caps w:val="0"/>
                      <w:color w:val="000000"/>
                      <w:spacing w:val="0"/>
                      <w:kern w:val="0"/>
                      <w:sz w:val="32"/>
                      <w:szCs w:val="32"/>
                      <w:lang w:val="en-US" w:eastAsia="zh-CN" w:bidi="ar"/>
                    </w:rPr>
                    <w:t>第五章  监督检查</w:t>
                  </w:r>
                </w:p>
                <w:p w14:paraId="14D39F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第十八条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实行裁量权执法责任制度。对不当行使或违法行使行政处罚裁量权的部门和相关行政执法人员，有权机关予以纠正后，依照相关规定追究责任。</w:t>
                  </w:r>
                </w:p>
                <w:p w14:paraId="545C3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0"/>
                    <w:jc w:val="left"/>
                    <w:rPr>
                      <w:color w:val="000000"/>
                      <w:sz w:val="21"/>
                      <w:szCs w:val="21"/>
                    </w:rPr>
                  </w:pPr>
                  <w:r>
                    <w:rPr>
                      <w:rFonts w:hint="default" w:ascii="仿宋_GB2312" w:hAnsi="Times New Roman" w:eastAsia="仿宋_GB2312" w:cs="仿宋_GB2312"/>
                      <w:b/>
                      <w:bCs/>
                      <w:i w:val="0"/>
                      <w:iCs w:val="0"/>
                      <w:caps w:val="0"/>
                      <w:color w:val="000000"/>
                      <w:spacing w:val="0"/>
                      <w:sz w:val="32"/>
                      <w:szCs w:val="32"/>
                    </w:rPr>
                    <w:t>第十九条</w:t>
                  </w:r>
                  <w:r>
                    <w:rPr>
                      <w:rFonts w:hint="default" w:ascii="Times New Roman" w:hAnsi="Times New Roman" w:eastAsia="微软雅黑" w:cs="Times New Roman"/>
                      <w:i w:val="0"/>
                      <w:iCs w:val="0"/>
                      <w:caps w:val="0"/>
                      <w:color w:val="000000"/>
                      <w:spacing w:val="0"/>
                      <w:sz w:val="32"/>
                      <w:szCs w:val="32"/>
                    </w:rPr>
                    <w:t>  </w:t>
                  </w:r>
                  <w:r>
                    <w:rPr>
                      <w:rFonts w:hint="default" w:ascii="仿宋_GB2312" w:hAnsi="Times New Roman" w:eastAsia="仿宋_GB2312" w:cs="仿宋_GB2312"/>
                      <w:i w:val="0"/>
                      <w:iCs w:val="0"/>
                      <w:caps w:val="0"/>
                      <w:color w:val="000000"/>
                      <w:spacing w:val="0"/>
                      <w:sz w:val="32"/>
                      <w:szCs w:val="32"/>
                    </w:rPr>
                    <w:t>同级人力资源社会保障行政部门行政执法监督机构对本级的裁量权执行情况进行监督并定期自查；上级人力资源社会保障行政部门对下级人力资源社会保障行政部门的裁量权执行情况进行监督并定期检查。</w:t>
                  </w:r>
                </w:p>
                <w:p w14:paraId="7D4ED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color w:val="000000"/>
                      <w:sz w:val="21"/>
                      <w:szCs w:val="21"/>
                    </w:rPr>
                  </w:pPr>
                  <w:r>
                    <w:rPr>
                      <w:rFonts w:hint="eastAsia" w:ascii="黑体" w:hAnsi="宋体" w:eastAsia="黑体" w:cs="黑体"/>
                      <w:i w:val="0"/>
                      <w:iCs w:val="0"/>
                      <w:caps w:val="0"/>
                      <w:color w:val="000000"/>
                      <w:spacing w:val="0"/>
                      <w:kern w:val="0"/>
                      <w:sz w:val="32"/>
                      <w:szCs w:val="32"/>
                      <w:lang w:val="en-US" w:eastAsia="zh-CN" w:bidi="ar"/>
                    </w:rPr>
                    <w:t>第六章  附则</w:t>
                  </w:r>
                </w:p>
                <w:p w14:paraId="172D7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第二十条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w:t>
                  </w:r>
                  <w:r>
                    <w:rPr>
                      <w:rFonts w:hint="default" w:ascii="方正仿宋_GBK" w:hAnsi="方正仿宋_GBK" w:eastAsia="方正仿宋_GBK" w:cs="方正仿宋_GBK"/>
                      <w:i w:val="0"/>
                      <w:iCs w:val="0"/>
                      <w:caps w:val="0"/>
                      <w:color w:val="000000"/>
                      <w:spacing w:val="0"/>
                      <w:kern w:val="0"/>
                      <w:sz w:val="32"/>
                      <w:szCs w:val="32"/>
                      <w:lang w:val="en-US" w:eastAsia="zh-CN" w:bidi="ar"/>
                    </w:rPr>
                    <w:t>吉林省人力资源社会保障部门实施行政处罚裁量权细化标准》中的“以上”“以下”“不超过”“至”均含本数，“不足”不包含本数。法律法规或者规章另有规定的除外。</w:t>
                  </w:r>
                </w:p>
                <w:p w14:paraId="4E096E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第二十一条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本规定由吉林省人力资源和社会保障厅负责解释。</w:t>
                  </w:r>
                </w:p>
                <w:p w14:paraId="7F4DD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43"/>
                    <w:jc w:val="left"/>
                    <w:rPr>
                      <w:color w:val="000000"/>
                      <w:sz w:val="21"/>
                      <w:szCs w:val="21"/>
                    </w:rPr>
                  </w:pPr>
                  <w:r>
                    <w:rPr>
                      <w:rFonts w:hint="default" w:ascii="仿宋_GB2312" w:hAnsi="Times New Roman" w:eastAsia="仿宋_GB2312" w:cs="仿宋_GB2312"/>
                      <w:b/>
                      <w:bCs/>
                      <w:i w:val="0"/>
                      <w:iCs w:val="0"/>
                      <w:caps w:val="0"/>
                      <w:color w:val="000000"/>
                      <w:spacing w:val="0"/>
                      <w:kern w:val="0"/>
                      <w:sz w:val="32"/>
                      <w:szCs w:val="32"/>
                      <w:lang w:val="en-US" w:eastAsia="zh-CN" w:bidi="ar"/>
                    </w:rPr>
                    <w:t>第二十二条</w:t>
                  </w:r>
                  <w:r>
                    <w:rPr>
                      <w:rFonts w:hint="default" w:ascii="Times New Roman" w:hAnsi="Times New Roman" w:eastAsia="微软雅黑" w:cs="Times New Roman"/>
                      <w:i w:val="0"/>
                      <w:iCs w:val="0"/>
                      <w:caps w:val="0"/>
                      <w:color w:val="000000"/>
                      <w:spacing w:val="0"/>
                      <w:kern w:val="0"/>
                      <w:sz w:val="32"/>
                      <w:szCs w:val="32"/>
                      <w:lang w:val="en-US" w:eastAsia="zh-CN" w:bidi="ar"/>
                    </w:rPr>
                    <w:t>  </w:t>
                  </w:r>
                  <w:r>
                    <w:rPr>
                      <w:rFonts w:hint="default" w:ascii="仿宋_GB2312" w:hAnsi="Times New Roman" w:eastAsia="仿宋_GB2312" w:cs="仿宋_GB2312"/>
                      <w:i w:val="0"/>
                      <w:iCs w:val="0"/>
                      <w:caps w:val="0"/>
                      <w:color w:val="000000"/>
                      <w:spacing w:val="0"/>
                      <w:kern w:val="0"/>
                      <w:sz w:val="32"/>
                      <w:szCs w:val="32"/>
                      <w:lang w:val="en-US" w:eastAsia="zh-CN" w:bidi="ar"/>
                    </w:rPr>
                    <w:t>本规定自发布之日起施行，《吉林省人力资源和社会保障部门实施行政处罚裁量标准》（吉人社联字〔</w:t>
                  </w:r>
                  <w:r>
                    <w:rPr>
                      <w:rFonts w:hint="default" w:ascii="Times New Roman" w:hAnsi="Times New Roman" w:eastAsia="微软雅黑" w:cs="Times New Roman"/>
                      <w:i w:val="0"/>
                      <w:iCs w:val="0"/>
                      <w:caps w:val="0"/>
                      <w:color w:val="000000"/>
                      <w:spacing w:val="0"/>
                      <w:kern w:val="0"/>
                      <w:sz w:val="32"/>
                      <w:szCs w:val="32"/>
                      <w:lang w:val="en-US" w:eastAsia="zh-CN" w:bidi="ar"/>
                    </w:rPr>
                    <w:t>2010</w:t>
                  </w:r>
                  <w:r>
                    <w:rPr>
                      <w:rFonts w:hint="default"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微软雅黑" w:cs="Times New Roman"/>
                      <w:i w:val="0"/>
                      <w:iCs w:val="0"/>
                      <w:caps w:val="0"/>
                      <w:color w:val="000000"/>
                      <w:spacing w:val="0"/>
                      <w:kern w:val="0"/>
                      <w:sz w:val="32"/>
                      <w:szCs w:val="32"/>
                      <w:lang w:val="en-US" w:eastAsia="zh-CN" w:bidi="ar"/>
                    </w:rPr>
                    <w:t>4</w:t>
                  </w:r>
                  <w:r>
                    <w:rPr>
                      <w:rFonts w:hint="default" w:ascii="仿宋_GB2312" w:hAnsi="Times New Roman" w:eastAsia="仿宋_GB2312" w:cs="仿宋_GB2312"/>
                      <w:i w:val="0"/>
                      <w:iCs w:val="0"/>
                      <w:caps w:val="0"/>
                      <w:color w:val="000000"/>
                      <w:spacing w:val="0"/>
                      <w:kern w:val="0"/>
                      <w:sz w:val="32"/>
                      <w:szCs w:val="32"/>
                      <w:lang w:val="en-US" w:eastAsia="zh-CN" w:bidi="ar"/>
                    </w:rPr>
                    <w:t>号）同时废止。</w:t>
                  </w:r>
                </w:p>
                <w:p w14:paraId="431C7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color w:val="000000"/>
                      <w:sz w:val="21"/>
                      <w:szCs w:val="21"/>
                    </w:rPr>
                  </w:pPr>
                  <w:r>
                    <w:rPr>
                      <w:rFonts w:hint="default" w:ascii="Times New Roman" w:hAnsi="Times New Roman" w:eastAsia="微软雅黑" w:cs="Times New Roman"/>
                      <w:i w:val="0"/>
                      <w:iCs w:val="0"/>
                      <w:caps w:val="0"/>
                      <w:color w:val="000000"/>
                      <w:spacing w:val="0"/>
                      <w:sz w:val="32"/>
                      <w:szCs w:val="32"/>
                    </w:rPr>
                    <w:t> </w:t>
                  </w:r>
                </w:p>
              </w:tc>
            </w:tr>
          </w:tbl>
          <w:p w14:paraId="5E3D6346">
            <w:pPr>
              <w:keepNext w:val="0"/>
              <w:keepLines w:val="0"/>
              <w:widowControl/>
              <w:suppressLineNumbers w:val="0"/>
              <w:jc w:val="both"/>
              <w:rPr>
                <w:rFonts w:hint="eastAsia" w:ascii="微软雅黑" w:hAnsi="微软雅黑" w:eastAsia="微软雅黑" w:cs="微软雅黑"/>
                <w:i w:val="0"/>
                <w:iCs w:val="0"/>
                <w:caps w:val="0"/>
                <w:color w:val="6B6B6B"/>
                <w:spacing w:val="0"/>
                <w:sz w:val="18"/>
                <w:szCs w:val="18"/>
              </w:rPr>
            </w:pPr>
          </w:p>
        </w:tc>
      </w:tr>
    </w:tbl>
    <w:p w14:paraId="59878353">
      <w:pPr>
        <w:rPr>
          <w:vanish/>
          <w:sz w:val="24"/>
          <w:szCs w:val="24"/>
        </w:rPr>
      </w:pPr>
    </w:p>
    <w:p w14:paraId="2C72446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ESI黑体-GB13000">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TFhN2U2YmE0MmMwYTRhYzFmOGVlOTUzYjZjNmQifQ=="/>
  </w:docVars>
  <w:rsids>
    <w:rsidRoot w:val="46D42AF7"/>
    <w:rsid w:val="46D4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2024-07-26T05:58:00Z</dcterms:created>
  <dc:creator>hp</dc:creator>
  <cp:lastModifiedBy>hp</cp:lastModifiedBy>
  <dcterms:modified xsi:type="dcterms:W3CDTF">2024-07-26T06:12:18Z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41C82C567529482885AB96CA60DA105D_11</vt:lpwstr>
  </property>
</Properties>
</file>