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70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抚松县泉阳镇人民政府</w:t>
      </w:r>
      <w:r>
        <w:rPr>
          <w:rFonts w:hint="eastAsia" w:ascii="方正小标宋简体" w:eastAsia="方正小标宋简体"/>
          <w:sz w:val="44"/>
          <w:szCs w:val="44"/>
        </w:rPr>
        <w:t>行政处罚裁量基准</w:t>
      </w:r>
    </w:p>
    <w:p>
      <w:pPr>
        <w:spacing w:after="0" w:line="240" w:lineRule="exact"/>
        <w:jc w:val="center"/>
        <w:rPr>
          <w:rFonts w:ascii="方正小标宋简体" w:eastAsia="方正小标宋简体"/>
          <w:sz w:val="44"/>
          <w:szCs w:val="44"/>
        </w:rPr>
      </w:pPr>
    </w:p>
    <w:tbl>
      <w:tblPr>
        <w:tblStyle w:val="2"/>
        <w:tblW w:w="12531" w:type="dxa"/>
        <w:jc w:val="center"/>
        <w:tblLayout w:type="fixed"/>
        <w:tblCellMar>
          <w:top w:w="57" w:type="dxa"/>
          <w:left w:w="57" w:type="dxa"/>
          <w:bottom w:w="57" w:type="dxa"/>
          <w:right w:w="57" w:type="dxa"/>
        </w:tblCellMar>
      </w:tblPr>
      <w:tblGrid>
        <w:gridCol w:w="667"/>
        <w:gridCol w:w="1361"/>
        <w:gridCol w:w="3308"/>
        <w:gridCol w:w="3793"/>
        <w:gridCol w:w="3402"/>
      </w:tblGrid>
      <w:tr>
        <w:tblPrEx>
          <w:tblCellMar>
            <w:top w:w="57" w:type="dxa"/>
            <w:left w:w="57" w:type="dxa"/>
            <w:bottom w:w="57" w:type="dxa"/>
            <w:right w:w="57" w:type="dxa"/>
          </w:tblCellMar>
        </w:tblPrEx>
        <w:trPr>
          <w:trHeight w:val="269" w:hRule="atLeast"/>
          <w:tblHeader/>
          <w:jc w:val="center"/>
        </w:trPr>
        <w:tc>
          <w:tcPr>
            <w:tcW w:w="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序号</w:t>
            </w:r>
          </w:p>
        </w:tc>
        <w:tc>
          <w:tcPr>
            <w:tcW w:w="13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项目名称</w:t>
            </w:r>
          </w:p>
        </w:tc>
        <w:tc>
          <w:tcPr>
            <w:tcW w:w="33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执法依据</w:t>
            </w:r>
          </w:p>
        </w:tc>
        <w:tc>
          <w:tcPr>
            <w:tcW w:w="7195" w:type="dxa"/>
            <w:gridSpan w:val="2"/>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裁量标准</w:t>
            </w:r>
          </w:p>
        </w:tc>
      </w:tr>
      <w:tr>
        <w:tblPrEx>
          <w:tblCellMar>
            <w:top w:w="57" w:type="dxa"/>
            <w:left w:w="57" w:type="dxa"/>
            <w:bottom w:w="57" w:type="dxa"/>
            <w:right w:w="57" w:type="dxa"/>
          </w:tblCellMar>
        </w:tblPrEx>
        <w:trPr>
          <w:trHeight w:val="304" w:hRule="atLeast"/>
          <w:tblHeader/>
          <w:jc w:val="center"/>
        </w:trPr>
        <w:tc>
          <w:tcPr>
            <w:tcW w:w="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p>
        </w:tc>
        <w:tc>
          <w:tcPr>
            <w:tcW w:w="13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p>
        </w:tc>
        <w:tc>
          <w:tcPr>
            <w:tcW w:w="33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p>
        </w:tc>
        <w:tc>
          <w:tcPr>
            <w:tcW w:w="3793"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适用情形</w:t>
            </w:r>
          </w:p>
        </w:tc>
        <w:tc>
          <w:tcPr>
            <w:tcW w:w="3402"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处罚幅度</w:t>
            </w:r>
          </w:p>
        </w:tc>
      </w:tr>
      <w:tr>
        <w:tblPrEx>
          <w:tblCellMar>
            <w:top w:w="57" w:type="dxa"/>
            <w:left w:w="57" w:type="dxa"/>
            <w:bottom w:w="57" w:type="dxa"/>
            <w:right w:w="57" w:type="dxa"/>
          </w:tblCellMar>
        </w:tblPrEx>
        <w:trPr>
          <w:trHeight w:val="2626" w:hRule="atLeast"/>
          <w:jc w:val="center"/>
        </w:trPr>
        <w:tc>
          <w:tcPr>
            <w:tcW w:w="667"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w:t>
            </w:r>
          </w:p>
        </w:tc>
        <w:tc>
          <w:tcPr>
            <w:tcW w:w="1361"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对擅自改变林地用途的行政处罚</w:t>
            </w:r>
          </w:p>
        </w:tc>
        <w:tc>
          <w:tcPr>
            <w:tcW w:w="3308" w:type="dxa"/>
            <w:vMerge w:val="restart"/>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法律】《中华人民共和国森林法》(2019年12月28日修订)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3793"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1.造成商品林林地毁坏，面积不足五亩的；</w:t>
            </w:r>
          </w:p>
          <w:p>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2.造成公益林林地毁坏，面积不足二亩的。</w:t>
            </w:r>
          </w:p>
        </w:tc>
        <w:tc>
          <w:tcPr>
            <w:tcW w:w="3402"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责令限期恢复植被和林业生产条件，可以处恢复植被和林业生产条件所需费用一倍以下的罚款。</w:t>
            </w:r>
          </w:p>
        </w:tc>
      </w:tr>
      <w:tr>
        <w:tblPrEx>
          <w:tblCellMar>
            <w:top w:w="57" w:type="dxa"/>
            <w:left w:w="57" w:type="dxa"/>
            <w:bottom w:w="57" w:type="dxa"/>
            <w:right w:w="57" w:type="dxa"/>
          </w:tblCellMar>
        </w:tblPrEx>
        <w:trPr>
          <w:trHeight w:val="3150" w:hRule="atLeast"/>
          <w:jc w:val="center"/>
        </w:trPr>
        <w:tc>
          <w:tcPr>
            <w:tcW w:w="667"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rPr>
            </w:pPr>
          </w:p>
        </w:tc>
        <w:tc>
          <w:tcPr>
            <w:tcW w:w="1361"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rPr>
            </w:pPr>
          </w:p>
        </w:tc>
        <w:tc>
          <w:tcPr>
            <w:tcW w:w="3308"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rPr>
            </w:pPr>
          </w:p>
        </w:tc>
        <w:tc>
          <w:tcPr>
            <w:tcW w:w="3793"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1.造成商品林林地毁坏，面积五亩以上的；</w:t>
            </w:r>
          </w:p>
          <w:p>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2.造成公益林林地毁坏，面积二亩以上的；</w:t>
            </w:r>
          </w:p>
          <w:p>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3.数量虽未分别达到第一项、第二项规定标准的，但按照相应比例折算合计达到100%的。</w:t>
            </w:r>
          </w:p>
        </w:tc>
        <w:tc>
          <w:tcPr>
            <w:tcW w:w="3402"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责令限期恢复植被和林业生产条件，可以处恢复植被和林业生产条件所需费用一倍以上三倍以下的罚款。</w:t>
            </w:r>
          </w:p>
        </w:tc>
      </w:tr>
      <w:tr>
        <w:tblPrEx>
          <w:tblCellMar>
            <w:top w:w="57" w:type="dxa"/>
            <w:left w:w="57" w:type="dxa"/>
            <w:bottom w:w="57" w:type="dxa"/>
            <w:right w:w="57" w:type="dxa"/>
          </w:tblCellMar>
        </w:tblPrEx>
        <w:trPr>
          <w:trHeight w:val="932" w:hRule="atLeast"/>
          <w:jc w:val="center"/>
        </w:trPr>
        <w:tc>
          <w:tcPr>
            <w:tcW w:w="667"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hint="eastAsia" w:ascii="宋体" w:hAnsi="宋体" w:eastAsia="宋体"/>
                <w:sz w:val="21"/>
                <w:szCs w:val="21"/>
                <w:highlight w:val="none"/>
                <w:lang w:eastAsia="zh-CN"/>
              </w:rPr>
            </w:pPr>
            <w:r>
              <w:rPr>
                <w:rFonts w:hint="eastAsia" w:ascii="宋体" w:hAnsi="宋体" w:eastAsia="宋体"/>
                <w:sz w:val="21"/>
                <w:szCs w:val="21"/>
                <w:highlight w:val="none"/>
                <w:lang w:val="en-US" w:eastAsia="zh-CN"/>
              </w:rPr>
              <w:t>2</w:t>
            </w:r>
          </w:p>
        </w:tc>
        <w:tc>
          <w:tcPr>
            <w:tcW w:w="1361"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对在幼林地砍柴、毁苗、放牧造成林木毁坏的行政处罚</w:t>
            </w:r>
          </w:p>
        </w:tc>
        <w:tc>
          <w:tcPr>
            <w:tcW w:w="3308" w:type="dxa"/>
            <w:vMerge w:val="restart"/>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法律】《中华人民共和国森林法》(2019年12月28日修订)第七十四条二款：违反本法规定，在幼林地砍柴、毁苗、放牧造成林木毁坏的，由县级以上人民政府林业主管部门责令停止违法行为，限期在原地或者异地补种毁坏株数一倍以上三倍以下的树木。</w:t>
            </w:r>
          </w:p>
        </w:tc>
        <w:tc>
          <w:tcPr>
            <w:tcW w:w="3793"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毁坏林木不足</w:t>
            </w:r>
            <w:bookmarkStart w:id="0" w:name="_GoBack"/>
            <w:bookmarkEnd w:id="0"/>
            <w:r>
              <w:rPr>
                <w:rFonts w:hint="eastAsia" w:ascii="宋体" w:hAnsi="宋体" w:eastAsia="宋体"/>
                <w:sz w:val="21"/>
                <w:szCs w:val="21"/>
                <w:highlight w:val="none"/>
              </w:rPr>
              <w:t>五株的。</w:t>
            </w:r>
          </w:p>
        </w:tc>
        <w:tc>
          <w:tcPr>
            <w:tcW w:w="3402"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责令停止违法行为，限期在原地或者异地补种毁坏株数一倍的树木。</w:t>
            </w:r>
          </w:p>
        </w:tc>
      </w:tr>
      <w:tr>
        <w:tblPrEx>
          <w:tblCellMar>
            <w:top w:w="57" w:type="dxa"/>
            <w:left w:w="57" w:type="dxa"/>
            <w:bottom w:w="57" w:type="dxa"/>
            <w:right w:w="57" w:type="dxa"/>
          </w:tblCellMar>
        </w:tblPrEx>
        <w:trPr>
          <w:trHeight w:val="1047" w:hRule="atLeast"/>
          <w:jc w:val="center"/>
        </w:trPr>
        <w:tc>
          <w:tcPr>
            <w:tcW w:w="667"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1361"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3308"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3793"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毁坏林木五株以上不足十株的。</w:t>
            </w:r>
          </w:p>
        </w:tc>
        <w:tc>
          <w:tcPr>
            <w:tcW w:w="3402"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责令停止违法行为，限期在原地或者异地补种毁坏株数二倍的树木。</w:t>
            </w:r>
          </w:p>
        </w:tc>
      </w:tr>
      <w:tr>
        <w:tblPrEx>
          <w:tblCellMar>
            <w:top w:w="57" w:type="dxa"/>
            <w:left w:w="57" w:type="dxa"/>
            <w:bottom w:w="57" w:type="dxa"/>
            <w:right w:w="57" w:type="dxa"/>
          </w:tblCellMar>
        </w:tblPrEx>
        <w:trPr>
          <w:trHeight w:val="1009" w:hRule="atLeast"/>
          <w:jc w:val="center"/>
        </w:trPr>
        <w:tc>
          <w:tcPr>
            <w:tcW w:w="667"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1361"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3308"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3793"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毁坏林木十株以上的。</w:t>
            </w:r>
          </w:p>
        </w:tc>
        <w:tc>
          <w:tcPr>
            <w:tcW w:w="3402"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责令停止违法行为，限期在原地或者异地补种毁坏株数三倍的树木。</w:t>
            </w:r>
          </w:p>
        </w:tc>
      </w:tr>
    </w:tbl>
    <w:p>
      <w:pPr>
        <w:jc w:val="cente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Zjg3OWM1NDk5ZjBkODVlNzdiNjI0ZjQ5NDY0YzkifQ=="/>
  </w:docVars>
  <w:rsids>
    <w:rsidRoot w:val="3BB0799D"/>
    <w:rsid w:val="3BB07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2024-07-26T01:13:00Z</dcterms:created>
  <dc:creator>Administrator</dc:creator>
  <cp:lastModifiedBy>Administrator</cp:lastModifiedBy>
  <dcterms:modified xsi:type="dcterms:W3CDTF">2024-07-26T01:13:50Z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E3BA9C9FFBA94D16A270BACEA32349A3_11</vt:lpwstr>
  </property>
</Properties>
</file>