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抚松县泉阳镇综合行政执</w:t>
      </w:r>
      <w:bookmarkStart w:id="0" w:name="_GoBack"/>
      <w:bookmarkEnd w:id="0"/>
      <w:r>
        <w:rPr>
          <w:rFonts w:hint="eastAsia" w:ascii="宋体" w:hAnsi="宋体" w:eastAsia="宋体" w:cs="宋体"/>
          <w:b/>
          <w:bCs/>
          <w:sz w:val="44"/>
          <w:szCs w:val="44"/>
          <w:lang w:val="en-US" w:eastAsia="zh-CN"/>
        </w:rPr>
        <w:t>法事项清单</w:t>
      </w:r>
    </w:p>
    <w:tbl>
      <w:tblPr>
        <w:tblStyle w:val="2"/>
        <w:tblW w:w="1452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2317"/>
        <w:gridCol w:w="933"/>
        <w:gridCol w:w="856"/>
        <w:gridCol w:w="860"/>
        <w:gridCol w:w="1124"/>
        <w:gridCol w:w="2263"/>
        <w:gridCol w:w="4415"/>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主体</w:t>
            </w:r>
          </w:p>
        </w:tc>
        <w:tc>
          <w:tcPr>
            <w:tcW w:w="860"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实施</w:t>
            </w:r>
          </w:p>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主体</w:t>
            </w:r>
          </w:p>
        </w:tc>
        <w:tc>
          <w:tcPr>
            <w:tcW w:w="1124"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w:t>
            </w:r>
          </w:p>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项来源</w:t>
            </w:r>
          </w:p>
        </w:tc>
        <w:tc>
          <w:tcPr>
            <w:tcW w:w="226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赋权或委托依据</w:t>
            </w:r>
          </w:p>
        </w:tc>
        <w:tc>
          <w:tcPr>
            <w:tcW w:w="4415"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4"/>
                <w:szCs w:val="24"/>
                <w:u w:val="none"/>
              </w:rPr>
            </w:pPr>
            <w:r>
              <w:rPr>
                <w:rFonts w:hint="eastAsia" w:ascii="宋体" w:eastAsia="宋体" w:cs="宋体"/>
                <w:b/>
                <w:bCs/>
                <w:i w:val="0"/>
                <w:iCs w:val="0"/>
                <w:color w:val="000000"/>
                <w:kern w:val="0"/>
                <w:sz w:val="24"/>
                <w:szCs w:val="24"/>
                <w:u w:val="none"/>
                <w:lang w:val="en-US" w:eastAsia="zh-CN"/>
              </w:rPr>
              <w:t>实施对象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lang w:val="en-US"/>
              </w:rPr>
            </w:pPr>
            <w:r>
              <w:rPr>
                <w:rFonts w:hint="eastAsia" w:ascii="仿宋_GB2312" w:hAnsi="仿宋_GB2312" w:eastAsia="仿宋_GB2312" w:cs="仿宋_GB2312"/>
                <w:i w:val="0"/>
                <w:iCs w:val="0"/>
                <w:color w:val="000000"/>
                <w:sz w:val="16"/>
                <w:szCs w:val="16"/>
                <w:u w:val="none"/>
                <w:lang w:val="en-US" w:eastAsia="zh-CN"/>
              </w:rPr>
              <w:t>对</w:t>
            </w:r>
            <w:r>
              <w:rPr>
                <w:rFonts w:hint="eastAsia" w:ascii="仿宋_GB2312" w:hAnsi="仿宋_GB2312" w:eastAsia="仿宋_GB2312" w:cs="仿宋_GB2312"/>
                <w:i w:val="0"/>
                <w:iCs w:val="0"/>
                <w:color w:val="000000"/>
                <w:sz w:val="16"/>
                <w:szCs w:val="16"/>
                <w:u w:val="none"/>
              </w:rPr>
              <w:t>未依法取得乡村建设规划许可证或者未按照乡村建设规划许可证的规定进行建设</w:t>
            </w:r>
            <w:r>
              <w:rPr>
                <w:rFonts w:hint="eastAsia" w:ascii="仿宋_GB2312" w:hAnsi="仿宋_GB2312" w:eastAsia="仿宋_GB2312" w:cs="仿宋_GB2312"/>
                <w:i w:val="0"/>
                <w:iCs w:val="0"/>
                <w:color w:val="000000"/>
                <w:sz w:val="16"/>
                <w:szCs w:val="16"/>
                <w:u w:val="none"/>
                <w:lang w:val="en-US" w:eastAsia="zh-CN"/>
              </w:rPr>
              <w:t>的</w:t>
            </w:r>
            <w:r>
              <w:rPr>
                <w:rFonts w:hint="eastAsia" w:ascii="仿宋_GB2312" w:hAnsi="仿宋_GB2312" w:eastAsia="仿宋_GB2312" w:cs="仿宋_GB2312"/>
                <w:i w:val="0"/>
                <w:iCs w:val="0"/>
                <w:color w:val="000000"/>
                <w:kern w:val="0"/>
                <w:sz w:val="16"/>
                <w:szCs w:val="16"/>
                <w:u w:val="none"/>
                <w:lang w:val="en-US" w:eastAsia="zh-CN"/>
              </w:rPr>
              <w:t>强制措施</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行政强制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lang w:val="en-US" w:eastAsia="zh-CN"/>
              </w:rPr>
            </w:pP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损坏村庄和集镇的房屋、公共设施的；乱堆粪便、垃圾、柴草，破坏村容镇貌和环境卫生的处罚</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i w:val="0"/>
                <w:iCs w:val="0"/>
                <w:color w:val="000000"/>
                <w:sz w:val="16"/>
                <w:szCs w:val="16"/>
                <w:u w:val="none"/>
              </w:rPr>
            </w:pP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《村庄和集镇规划建设管理条例》第三十九条：有下列行为之一的，由乡级人民政府责令停止侵害，可以处以罚款；造成损失的，并应当赔偿：</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（一）损坏村庄和集镇的房屋、公共设施的；</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（二）乱堆粪便、垃圾、柴草，破坏村容镇貌和环境卫生的。</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擅自在村庄、集镇规划区内的街道、广场、市场和车站等场所修建临时建筑物、构筑物和其他设施的处罚</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kern w:val="0"/>
                <w:sz w:val="16"/>
                <w:szCs w:val="16"/>
                <w:lang w:val="en-US" w:eastAsia="zh-CN" w:bidi="ar-SA"/>
              </w:rPr>
            </w:pP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《村庄和集镇规划建设管理条例》第四十条：擅自在村庄、集镇规划区内的街道、广场、市场和车站等场所修建临时建筑物、构筑物和其他设施的，由乡级人民政府责令限期拆除，并可处以罚款。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4</w:t>
            </w:r>
          </w:p>
        </w:tc>
        <w:tc>
          <w:tcPr>
            <w:tcW w:w="23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未经业主大会决定或者业主共同决定，改变物业服务用房用途的处罚；转让和抵押物业服务用房的处罚</w:t>
            </w:r>
          </w:p>
        </w:tc>
        <w:tc>
          <w:tcPr>
            <w:tcW w:w="9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p>
        </w:tc>
        <w:tc>
          <w:tcPr>
            <w:tcW w:w="44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五条。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w:t>
            </w:r>
          </w:p>
        </w:tc>
        <w:tc>
          <w:tcPr>
            <w:tcW w:w="12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5</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未经业主大会决定或者业主共同决定，改变共有部分用途、利用共有部分从事经营活动或者处分共有部分的处罚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iCs w:val="0"/>
                <w:color w:val="000000"/>
                <w:kern w:val="2"/>
                <w:sz w:val="16"/>
                <w:szCs w:val="16"/>
                <w:u w:val="none"/>
                <w:lang w:val="en-US" w:eastAsia="zh-CN" w:bidi="ar-SA"/>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六条。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6</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建设单位未按照规定将全部资料报送街道办事处、乡镇人民政府，经责令限期改正，逾期不改正的处罚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八条。违反本条例第二十四条第二款规定，建设单位未按照规定将全部资料报送街道办事处、乡镇人民政府的，由街道办事处、乡镇人民政府责令限期改正；逾期不改正的，处一万元以上五万元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7</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建设单位未按照规定将前期物业服务合同报送备案的，经责令限期改正，逾期不改正的处罚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九条。违反本条例第六十条第二款规定，建设单位未按照规定将前期物业服务合同报送备案的，由街道办事处、乡镇人民政府责令限期改正；逾期不改正的，处五千元以上一万元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8</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建设单位未按照规定将临时管理规约报送备案，经责令限期改正，逾期不改正的处罚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条。违反本条例第六十一条第一款规定，建设单位未按照规定将临时管理规约报送备案的，由街道办事处、乡镇人民政府责令限期改正；逾期不改正的，处五千元以上一万元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9</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建设单位、物业服务人未按照规定履行承接查验义务的处罚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二条违反本条例规定。建设单位、物业服务人未按照规定履行承接查验义务的，按照以下规定给予处罚：（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二）违反本条例第六十七条第三款规定，建设单位未整改的，由街道办事处、乡镇人民政府责令限期改正；逾期不改正的，处一万元以上十万元以下的罚款。（三）违反本条例第六十八条规定，建设单位不移交有关资料的，由街道办事处、乡镇人民政府责令限期改正；逾期不改正的，处一万元以上十万元以下的罚款。（四）违反本条例第六十九条规定，物业服务人未将有关文件报送备案的，由街道办事处、乡镇人民政府责令限期改正；逾期不改正的，处五千元以上一万元以下的罚款。（五）违反本条例第七十条第一款规定，物业服务人未建立物业承接查验档案，并妥善保管的，由街道办事处、乡镇人民政府责令限期改正；逾期不改正的，处五千以上一万元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4"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10</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物业服务人将其应当提供的全部物业服务转委托给第三人，或者将全部物业服务支解后分别转委托给第三人的处罚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三条。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（二）发现有安全风险隐患的，及时设置警示标志，采取措施排除隐患或者向有关专业机构报告；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（三）做好物业维修、养护及其费用收支的各项记录，妥善保管物业服务档案和资料；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（五）对业主、物业使用人违反临时管理规约、管理规约的行为进行劝阻、制止，并及时报告业主委员会；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（六）对在提供物业服务过程中获取的业主、物业使用人的个人信息予以保密；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（七）指导和监督业主、物业使用人进行生活垃圾分类；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（八）执行政府依法实施的各项管理措施，积极配合开展相关工作。</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11</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物业服务人提供物业服务未遵守相关规定的处罚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（二）发现有安全风险隐患的，及时设置警示标志，采取措施排除隐患或者向有关专业机构报告；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（三）做好物业维修、养护及其费用收支的各项记录，妥善保管物业服务档案和资料；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（五）对业主、物业使用人违反临时管理规约、管理规约的行为进行劝阻、制止，并及时报告业主委员会；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（六）对在提供物业服务过程中获取的业主、物业使用人的个人信息予以保密；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（七）指导和监督业主、物业使用人进行生活垃圾分类；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（八）执行政府依法实施的各项管理措施，积极配合开展相关工作。</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12</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物业服务人采取停止供电、供水、供热、供燃气以及限制业主进出小区、入户的方式催交物业费的处罚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五条违反本条例第七十六条第二款规定，物业服务人采取停止供电、供水、供热、供燃气以及限制业主进出小区、入户的方式催交物业费的，由街道办事处、乡镇人民政府责令限期改正，处五千元以上三万元以下的罚款。</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二款。物业服务人不得以业主拖欠物业费、不配合管理等理由，减少服务内容，降低服务质量；不得采取停止供电、供水、供热、供燃气以及限制业主进出小区、入户的方式催交物业费。</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13</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物业服务人未按照规定将物业服务合同报送备案的处罚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六条。违反本条例第七十八条第四款规定，物业服务人未按照规定将物业服务合同报送备案的，由街道办事处、乡镇人民政府责令限期改正；逾期不改正的，处五千元以上一万元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14</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物业项目负责人未按照规定报到的处罚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《吉林省物业管理条例》第一百一十七条。违反本条例第八十条第一款规定，物业项目负责人未按照规定报到的，由街道办事处、乡镇人民政府责令限期改正；逾期不改正的，处一千元以上五千元以下的罚款。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15</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物业服务人未按照规定在物业管理区域内显著位置公开相关信息的处罚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八条。违反本条例第八十一条第一款规定，物业服务人未按照规定在物业管理区域内显著位置公开相关信息的，由街道办事处、乡镇人民政府责令限期改正；逾期不改正的，处一千元以上五千元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16</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物业服务人未按照规定建立、保存物业服务档案和资料的处罚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九条。违反本条例第八十二条规定，物业服务人未按照规定建立、保存物业服务档案和资料的，由街道办事处、乡镇人民政府责令限期改正；逾期不改正的，处一千元以上五千元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17</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拒不移交有关资料、财物，或者损坏、隐匿、销毁有关资料、财物，或者拒不退出物业管理区域，经限期责令改正，逾期不改正，对拒不移交有关资料、财物的的处罚，对损坏、隐匿、销毁有关资料、财物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条。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18</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一条。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19</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建设单位将未出售或者未附赠的车位、车库出租给本物业管理区域外的其他使用人、每次租赁期限超过一年的处罚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三条。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20</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挪用、侵占属于业主共有的经营收益的处罚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《吉林省物业管理条例》第一百二十四条。违反本条例第九十四条第二款规定，挪用、侵占属于业主共有的经营收益的，由街道办事处、乡镇人民政府责令限期退还，处挪用、侵占金额一倍以上两倍以下的罚款。</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21</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农村宅基地审批</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行政许可</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《中华人民共和国土地管理法》（2019年8月26日第十三届全国人民代表大会常务委员会第十二次会议第三次修正，自2020年1月1日起施行）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“第六十二条 第四款 农村村民住宅用地，由乡（镇）人民政府审核批准，其中，涉及占用农用地的，依照本法第四十四条的规定办理审批手续。”</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22</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个人之间、个人与单位之间的争议土地权属争议调处</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行政裁决</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《中华人民共和国土地管理法》（2019年8月26日第十三届全国人民代表大会常务委员会第十二次会议第三次修正，自2020年1月1日起施行）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“第十四条 第一款 土地所有权和使用权争议，由当事人协商解决；协商不成的，由人民政府处理。</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 xml:space="preserve"> 第二款 单位之间的争议，由县级以上人民政府处理；个人之间、个人与单位之间的争议，由乡级人民政府或者县级以上人民政府处理。”</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23</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个人之间、个人与单位之间的林木、林地权属争议裁决</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行政裁决</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《中华人民共和国森林法》 （2019年12月28日第十三届全国人民代表大会常务委员会第十五次会议修订，自2020年7月1日起施行。)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“第二十二条 第一款 单位之间发生的林木、林地所有权和使用权争议，由县级以上人民政府依法处理。</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第二款 个人之间、个人与单位之间发生的林木所有权和林地使用权争议，由乡镇人民政府或县级以上人民政府依法处理。”</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24</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物业管理活动的指导和监督管理工作</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行政检查</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《吉林省物业管理条例》第六条：街道办事处、乡镇人民政府负责本行政区域内物业管理活动的指导和监督管理工作，依法履行对物业管理区域内的物业服务实施监督检查</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25</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安全生产状况监督检查</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行政检查</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《中华人民共和国安全生产法》（2021年6月10日，中华人民共和国第十三届全国人民代表大会常务委员会第二十九次会议修改，自2021年9月1日起施行）</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“第九条 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26</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对农业投入品生产者</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销售者</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使用者未按照规定及时回收肥料等农业投 入品的包装废弃物</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农用薄膜</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或者未按照规定及时回收农药</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包装废弃物交由专门的机构或者组织进行无害化处理的行政处罚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22</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《中华人民共和国土壤污染防治法》</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第八十八条︰违反本法规定</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r>
              <w:rPr>
                <w:rFonts w:hint="eastAsia" w:ascii="仿宋_GB2312" w:hAnsi="仿宋_GB2312" w:eastAsia="仿宋_GB2312" w:cs="仿宋_GB2312"/>
                <w:sz w:val="16"/>
                <w:szCs w:val="16"/>
                <w:vertAlign w:val="baseline"/>
                <w:lang w:eastAsia="zh-CN"/>
              </w:rPr>
              <w:t>。</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27</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对销售的种子应当包装而没有包装的行政处罚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23</w:t>
            </w:r>
            <w:r>
              <w:rPr>
                <w:rFonts w:hint="eastAsia" w:ascii="仿宋_GB2312" w:hAnsi="仿宋_GB2312" w:eastAsia="仿宋_GB2312" w:cs="仿宋_GB2312"/>
                <w:sz w:val="16"/>
                <w:szCs w:val="16"/>
              </w:rPr>
              <w:t>项</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《中华人民共和国种子法》(2015年11月4日修订，2021年12月24日第三次修正)</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第七十九条︰违反本法第三十六条、第三十八条、第三十九条．第四十条规定，有下列行为之一的，由县级以上人民政府农业农村、林业草原主管部门责令改正，处二千元以上二万元以下罚款:</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(一)销售的种子应当包装而没有包装的﹔</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(二)销售的种子没有使用说明或者标签内容不符合规定的﹔</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(三)涂改标签的﹔</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(四）未按规定建立、保存种子生产经营档案的﹔</w:t>
            </w:r>
          </w:p>
          <w:p>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(五）种子生产经营者在异地设立分支机构、专门经营不再分装的包装种子或者受委托生产、代销种子，未按规定备案的</w:t>
            </w:r>
            <w:r>
              <w:rPr>
                <w:rFonts w:hint="eastAsia" w:ascii="仿宋_GB2312" w:hAnsi="仿宋_GB2312" w:eastAsia="仿宋_GB2312" w:cs="仿宋_GB2312"/>
                <w:sz w:val="16"/>
                <w:szCs w:val="16"/>
                <w:vertAlign w:val="baseline"/>
                <w:lang w:eastAsia="zh-CN"/>
              </w:rPr>
              <w:t>。</w:t>
            </w:r>
          </w:p>
          <w:p>
            <w:pPr>
              <w:keepNext w:val="0"/>
              <w:keepLines w:val="0"/>
              <w:widowControl/>
              <w:suppressLineNumbers w:val="0"/>
              <w:jc w:val="left"/>
              <w:textAlignment w:val="center"/>
              <w:rPr>
                <w:rFonts w:hint="eastAsia" w:ascii="仿宋_GB2312" w:hAnsi="仿宋_GB2312" w:eastAsia="仿宋_GB2312" w:cs="仿宋_GB2312"/>
                <w:kern w:val="2"/>
                <w:sz w:val="16"/>
                <w:szCs w:val="16"/>
                <w:vertAlign w:val="baseline"/>
                <w:lang w:val="en-US" w:eastAsia="zh-CN" w:bidi="ar-SA"/>
              </w:rPr>
            </w:pP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6"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28</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对未经县级以上人民政府林业主管部门审核同意,擅自改变林地用途的行政处罚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34</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《中华人民共和国森林法》(2019年12月28日修订)</w:t>
            </w:r>
          </w:p>
          <w:p>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仿宋_GB2312" w:hAnsi="仿宋_GB2312" w:eastAsia="仿宋_GB2312" w:cs="仿宋_GB2312"/>
                <w:sz w:val="16"/>
                <w:szCs w:val="16"/>
                <w:vertAlign w:val="baseline"/>
                <w:lang w:eastAsia="zh-CN"/>
              </w:rPr>
              <w:t>。</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29</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对在幼林地砍柴、毁苗、放牧造成林木毁坏的行政处罚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36</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中华人民共和国森林法》(2019年12月28日修订)</w:t>
            </w:r>
          </w:p>
          <w:p>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第七十四条第二款︰违反本法规定﹐在幼林地砍柴、毁苗、放牧造成林木毁坏的，由县级以上人民政府林业主管部门责令停止违法行为﹐限期在原地或者异地补种毁坏株数一倍以上三倍以下的树木</w:t>
            </w:r>
            <w:r>
              <w:rPr>
                <w:rFonts w:hint="eastAsia" w:ascii="仿宋_GB2312" w:hAnsi="仿宋_GB2312" w:eastAsia="仿宋_GB2312" w:cs="仿宋_GB2312"/>
                <w:sz w:val="16"/>
                <w:szCs w:val="16"/>
                <w:vertAlign w:val="baseline"/>
                <w:lang w:eastAsia="zh-CN"/>
              </w:rPr>
              <w:t>。</w:t>
            </w:r>
          </w:p>
          <w:p>
            <w:pPr>
              <w:jc w:val="left"/>
              <w:rPr>
                <w:rFonts w:hint="eastAsia" w:ascii="仿宋_GB2312" w:hAnsi="仿宋_GB2312" w:eastAsia="仿宋_GB2312" w:cs="仿宋_GB2312"/>
                <w:i w:val="0"/>
                <w:iCs w:val="0"/>
                <w:color w:val="000000"/>
                <w:kern w:val="0"/>
                <w:sz w:val="16"/>
                <w:szCs w:val="16"/>
                <w:u w:val="none"/>
                <w:lang w:val="en-US" w:eastAsia="zh-CN"/>
              </w:rPr>
            </w:pP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30</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对未按照规定办理登记手续并取得相应的证书和牌照,擅自将拖拉机、联合收割机投入使用，或者未按照规定办理变更登记手续的行政处罚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45</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《业机械安全监督管理条例》(2019年3月2日修订 发文字号:国务院令第563号)</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当事人补办相关手续的﹐应当及时退还扣押的拖拉机、联合收割机。</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0"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31</w:t>
            </w:r>
          </w:p>
        </w:tc>
        <w:tc>
          <w:tcPr>
            <w:tcW w:w="2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对未取得拖拉机、联合收割机操作证件而操作拖拉机、联合收割机的行政处罚</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2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46</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41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《农业机械安全监督管理条例》(2019年3月2日修订</w:t>
            </w:r>
            <w:r>
              <w:rPr>
                <w:rFonts w:hint="eastAsia" w:ascii="仿宋_GB2312" w:hAnsi="仿宋_GB2312" w:eastAsia="仿宋_GB2312" w:cs="仿宋_GB2312"/>
                <w:sz w:val="16"/>
                <w:szCs w:val="16"/>
                <w:vertAlign w:val="baseline"/>
                <w:lang w:val="en-US" w:eastAsia="zh-CN"/>
              </w:rPr>
              <w:t xml:space="preserve"> </w:t>
            </w:r>
            <w:r>
              <w:rPr>
                <w:rFonts w:hint="eastAsia" w:ascii="仿宋_GB2312" w:hAnsi="仿宋_GB2312" w:eastAsia="仿宋_GB2312" w:cs="仿宋_GB2312"/>
                <w:sz w:val="16"/>
                <w:szCs w:val="16"/>
                <w:vertAlign w:val="baseline"/>
              </w:rPr>
              <w:t>发文字号:国务院令第563号)</w:t>
            </w:r>
          </w:p>
          <w:p>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第五十二条未取得拖拉机、联合收割机操作证件而操作拖拉机、联合收割机的，由县级以上地方人民政府农业机械化主管部门责令改正﹐处100元以上500元以下罚款</w:t>
            </w:r>
            <w:r>
              <w:rPr>
                <w:rFonts w:hint="eastAsia" w:ascii="仿宋_GB2312" w:hAnsi="仿宋_GB2312" w:eastAsia="仿宋_GB2312" w:cs="仿宋_GB2312"/>
                <w:sz w:val="16"/>
                <w:szCs w:val="16"/>
                <w:vertAlign w:val="baseline"/>
                <w:lang w:eastAsia="zh-CN"/>
              </w:rPr>
              <w:t>。</w:t>
            </w:r>
          </w:p>
        </w:tc>
        <w:tc>
          <w:tcPr>
            <w:tcW w:w="12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32</w:t>
            </w:r>
          </w:p>
        </w:tc>
        <w:tc>
          <w:tcPr>
            <w:tcW w:w="23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对使用拖拉机、联合收割机违反规定载人的行政处罚</w:t>
            </w:r>
          </w:p>
        </w:tc>
        <w:tc>
          <w:tcPr>
            <w:tcW w:w="9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860"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22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47</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41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《农业机械安全监督管理条例》(2019年3月2日修订 发文字号:国务院令第563号)</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当事人改正违法行为的﹐应当及时退还扣押的拖拉机、联合收割机的证书、牌照。</w:t>
            </w:r>
          </w:p>
        </w:tc>
        <w:tc>
          <w:tcPr>
            <w:tcW w:w="12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bl>
    <w:p>
      <w:pPr>
        <w:pStyle w:val="4"/>
        <w:rPr>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jg3OWM1NDk5ZjBkODVlNzdiNjI0ZjQ5NDY0YzkifQ=="/>
  </w:docVars>
  <w:rsids>
    <w:rsidRoot w:val="07D810F2"/>
    <w:rsid w:val="07D8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2024-07-26T01:12:00Z</dcterms:created>
  <dc:creator>Administrator</dc:creator>
  <cp:lastModifiedBy>Administrator</cp:lastModifiedBy>
  <dcterms:modified xsi:type="dcterms:W3CDTF">2024-07-26T01:13:17Z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3A69D81EEA684AE38E408469EFDCA442_11</vt:lpwstr>
  </property>
</Properties>
</file>