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48BA0">
      <w:pPr>
        <w:widowControl/>
        <w:shd w:val="clear" w:color="auto" w:fill="FFFFFF"/>
        <w:spacing w:line="525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</w:rPr>
        <w:t xml:space="preserve"> </w:t>
      </w:r>
    </w:p>
    <w:p w14:paraId="2EACA3BB">
      <w:pPr>
        <w:widowControl/>
        <w:shd w:val="clear" w:color="auto" w:fill="FFFFFF"/>
        <w:spacing w:line="525" w:lineRule="atLeast"/>
        <w:jc w:val="center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bookmarkStart w:id="0" w:name="_GoBack"/>
      <w:r>
        <w:rPr>
          <w:rFonts w:hint="eastAsia" w:ascii="方正小标宋简体" w:hAnsi="微软雅黑" w:eastAsia="方正小标宋简体" w:cs="宋体"/>
          <w:color w:val="333333"/>
          <w:kern w:val="0"/>
          <w:sz w:val="44"/>
          <w:szCs w:val="44"/>
          <w:lang w:eastAsia="zh-CN"/>
        </w:rPr>
        <w:t>抚松县露水河镇综合行政执法</w:t>
      </w:r>
      <w:r>
        <w:rPr>
          <w:rFonts w:hint="eastAsia" w:ascii="方正小标宋简体" w:hAnsi="微软雅黑" w:eastAsia="方正小标宋简体" w:cs="宋体"/>
          <w:color w:val="333333"/>
          <w:kern w:val="0"/>
          <w:sz w:val="44"/>
          <w:szCs w:val="44"/>
          <w:lang w:val="en-US" w:eastAsia="zh-CN"/>
        </w:rPr>
        <w:t>2025</w:t>
      </w:r>
      <w:r>
        <w:rPr>
          <w:rFonts w:hint="eastAsia" w:ascii="方正小标宋简体" w:hAnsi="微软雅黑" w:eastAsia="方正小标宋简体" w:cs="宋体"/>
          <w:color w:val="333333"/>
          <w:kern w:val="0"/>
          <w:sz w:val="44"/>
          <w:szCs w:val="44"/>
        </w:rPr>
        <w:t>年度行政执法统计年报</w:t>
      </w:r>
    </w:p>
    <w:p w14:paraId="42C1E675">
      <w:pPr>
        <w:widowControl/>
        <w:shd w:val="clear" w:color="auto" w:fill="FFFFFF"/>
        <w:spacing w:line="525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</w:rPr>
        <w:t xml:space="preserve"> </w:t>
      </w:r>
    </w:p>
    <w:p w14:paraId="1025BE0C">
      <w:pPr>
        <w:widowControl/>
        <w:shd w:val="clear" w:color="auto" w:fill="FFFFFF"/>
        <w:spacing w:line="525" w:lineRule="atLeast"/>
        <w:jc w:val="center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目   录</w:t>
      </w:r>
    </w:p>
    <w:p w14:paraId="0F6FBD1F">
      <w:pPr>
        <w:widowControl/>
        <w:shd w:val="clear" w:color="auto" w:fill="FFFFFF"/>
        <w:spacing w:line="525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ascii="微软雅黑" w:hAnsi="微软雅黑" w:eastAsia="微软雅黑" w:cs="宋体"/>
          <w:color w:val="333333"/>
          <w:kern w:val="0"/>
        </w:rPr>
        <w:t xml:space="preserve"> </w:t>
      </w:r>
    </w:p>
    <w:p w14:paraId="201A13D5">
      <w:pPr>
        <w:widowControl/>
        <w:shd w:val="clear" w:color="auto" w:fill="FFFFFF"/>
        <w:spacing w:line="525" w:lineRule="atLeast"/>
        <w:ind w:firstLine="645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 xml:space="preserve">第一部分  </w:t>
      </w:r>
      <w:r>
        <w:rPr>
          <w:rFonts w:hint="eastAsia" w:ascii="仿宋" w:hAnsi="仿宋"/>
          <w:color w:val="333333"/>
          <w:kern w:val="0"/>
          <w:lang w:eastAsia="zh-CN"/>
        </w:rPr>
        <w:t>抚松县露水河镇综合行政执法</w:t>
      </w:r>
      <w:r>
        <w:rPr>
          <w:rFonts w:hint="eastAsia" w:ascii="仿宋" w:hAnsi="仿宋"/>
          <w:color w:val="333333"/>
          <w:kern w:val="0"/>
          <w:lang w:val="en-US" w:eastAsia="zh-CN"/>
        </w:rPr>
        <w:t>2025</w:t>
      </w:r>
      <w:r>
        <w:rPr>
          <w:rFonts w:hint="eastAsia" w:ascii="仿宋" w:hAnsi="仿宋"/>
          <w:color w:val="333333"/>
          <w:kern w:val="0"/>
        </w:rPr>
        <w:t>年度行政执法数据表</w:t>
      </w:r>
    </w:p>
    <w:p w14:paraId="2F5EBFAB">
      <w:pPr>
        <w:widowControl/>
        <w:shd w:val="clear" w:color="auto" w:fill="FFFFFF"/>
        <w:spacing w:line="525" w:lineRule="atLeast"/>
        <w:ind w:firstLine="645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一、行政处罚实施情况统计表</w:t>
      </w:r>
    </w:p>
    <w:p w14:paraId="41848E50">
      <w:pPr>
        <w:widowControl/>
        <w:shd w:val="clear" w:color="auto" w:fill="FFFFFF"/>
        <w:spacing w:line="525" w:lineRule="atLeast"/>
        <w:ind w:firstLine="645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二、行政许可实施情况统计表</w:t>
      </w:r>
    </w:p>
    <w:p w14:paraId="1A1B3DEB">
      <w:pPr>
        <w:widowControl/>
        <w:shd w:val="clear" w:color="auto" w:fill="FFFFFF"/>
        <w:spacing w:line="525" w:lineRule="atLeast"/>
        <w:ind w:firstLine="645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三、行政强制实施情况统计表</w:t>
      </w:r>
    </w:p>
    <w:p w14:paraId="7C409F1A">
      <w:pPr>
        <w:widowControl/>
        <w:shd w:val="clear" w:color="auto" w:fill="FFFFFF"/>
        <w:spacing w:line="525" w:lineRule="atLeast"/>
        <w:ind w:firstLine="645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四、其他行政执法行为实施情况统计表</w:t>
      </w:r>
    </w:p>
    <w:p w14:paraId="73B5EF75">
      <w:pPr>
        <w:widowControl/>
        <w:shd w:val="clear" w:color="auto" w:fill="FFFFFF"/>
        <w:spacing w:line="525" w:lineRule="atLeast"/>
        <w:ind w:firstLine="645"/>
        <w:jc w:val="left"/>
        <w:rPr>
          <w:rFonts w:hint="eastAsia" w:ascii="仿宋" w:hAnsi="仿宋"/>
          <w:color w:val="333333"/>
          <w:kern w:val="0"/>
        </w:rPr>
      </w:pPr>
    </w:p>
    <w:p w14:paraId="106C3F25">
      <w:pPr>
        <w:widowControl/>
        <w:shd w:val="clear" w:color="auto" w:fill="FFFFFF"/>
        <w:spacing w:line="525" w:lineRule="atLeast"/>
        <w:ind w:firstLine="645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 xml:space="preserve">第二部分 </w:t>
      </w:r>
      <w:r>
        <w:rPr>
          <w:rFonts w:hint="eastAsia" w:ascii="仿宋" w:hAnsi="仿宋"/>
          <w:color w:val="333333"/>
          <w:kern w:val="0"/>
          <w:lang w:eastAsia="zh-CN"/>
        </w:rPr>
        <w:t>抚松县露水河镇综合行政执法</w:t>
      </w:r>
      <w:r>
        <w:rPr>
          <w:rFonts w:hint="eastAsia" w:ascii="仿宋" w:hAnsi="仿宋"/>
          <w:color w:val="333333"/>
          <w:kern w:val="0"/>
          <w:lang w:val="en-US" w:eastAsia="zh-CN"/>
        </w:rPr>
        <w:t>2025</w:t>
      </w:r>
      <w:r>
        <w:rPr>
          <w:rFonts w:hint="eastAsia" w:ascii="仿宋" w:hAnsi="仿宋"/>
          <w:color w:val="333333"/>
          <w:kern w:val="0"/>
        </w:rPr>
        <w:t>年度年度行政执法总体情况</w:t>
      </w:r>
    </w:p>
    <w:p w14:paraId="6611D01C">
      <w:pPr>
        <w:widowControl/>
        <w:shd w:val="clear" w:color="auto" w:fill="FFFFFF"/>
        <w:spacing w:line="525" w:lineRule="atLeast"/>
        <w:ind w:firstLine="645"/>
        <w:jc w:val="left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ascii="微软雅黑" w:hAnsi="微软雅黑" w:eastAsia="微软雅黑" w:cs="宋体"/>
          <w:color w:val="333333"/>
          <w:kern w:val="0"/>
        </w:rPr>
        <w:t xml:space="preserve"> </w:t>
      </w:r>
    </w:p>
    <w:p w14:paraId="34589713">
      <w:pPr>
        <w:widowControl/>
        <w:shd w:val="clear" w:color="auto" w:fill="FFFFFF"/>
        <w:spacing w:line="525" w:lineRule="atLeast"/>
        <w:ind w:firstLine="645"/>
        <w:jc w:val="left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ascii="微软雅黑" w:hAnsi="微软雅黑" w:eastAsia="微软雅黑" w:cs="宋体"/>
          <w:color w:val="333333"/>
          <w:kern w:val="0"/>
        </w:rPr>
        <w:t xml:space="preserve"> </w:t>
      </w:r>
    </w:p>
    <w:p w14:paraId="6A34EF0D">
      <w:pPr>
        <w:widowControl/>
        <w:shd w:val="clear" w:color="auto" w:fill="FFFFFF"/>
        <w:spacing w:line="525" w:lineRule="atLeast"/>
        <w:ind w:firstLine="645"/>
        <w:jc w:val="left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ascii="微软雅黑" w:hAnsi="微软雅黑" w:eastAsia="微软雅黑" w:cs="宋体"/>
          <w:color w:val="333333"/>
          <w:kern w:val="0"/>
        </w:rPr>
        <w:t xml:space="preserve"> </w:t>
      </w:r>
    </w:p>
    <w:p w14:paraId="7F9ACF77">
      <w:pPr>
        <w:widowControl/>
        <w:shd w:val="clear" w:color="auto" w:fill="FFFFFF"/>
        <w:spacing w:line="525" w:lineRule="atLeast"/>
        <w:ind w:firstLine="645"/>
        <w:jc w:val="left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ascii="微软雅黑" w:hAnsi="微软雅黑" w:eastAsia="微软雅黑" w:cs="宋体"/>
          <w:color w:val="333333"/>
          <w:kern w:val="0"/>
        </w:rPr>
        <w:t xml:space="preserve"> </w:t>
      </w:r>
    </w:p>
    <w:p w14:paraId="07766A6F">
      <w:pPr>
        <w:widowControl/>
        <w:shd w:val="clear" w:color="auto" w:fill="FFFFFF"/>
        <w:spacing w:line="525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</w:p>
    <w:p w14:paraId="2B39AF09">
      <w:pPr>
        <w:widowControl/>
        <w:shd w:val="clear" w:color="auto" w:fill="FFFFFF"/>
        <w:spacing w:line="525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7"/>
          <w:szCs w:val="27"/>
        </w:rPr>
      </w:pPr>
    </w:p>
    <w:p w14:paraId="26DC9DFF">
      <w:pPr>
        <w:widowControl/>
        <w:shd w:val="clear" w:color="auto" w:fill="FFFFFF"/>
        <w:spacing w:line="525" w:lineRule="atLeast"/>
        <w:jc w:val="center"/>
        <w:rPr>
          <w:rFonts w:hint="eastAsia" w:ascii="方正小标宋简体" w:hAnsi="微软雅黑" w:eastAsia="方正小标宋简体" w:cs="宋体"/>
          <w:color w:val="333333"/>
          <w:kern w:val="0"/>
          <w:sz w:val="21"/>
          <w:szCs w:val="21"/>
        </w:rPr>
      </w:pPr>
    </w:p>
    <w:p w14:paraId="12C7D57B">
      <w:pPr>
        <w:widowControl/>
        <w:shd w:val="clear" w:color="auto" w:fill="FFFFFF"/>
        <w:spacing w:line="525" w:lineRule="atLeast"/>
        <w:jc w:val="center"/>
        <w:rPr>
          <w:rFonts w:hint="eastAsia" w:ascii="方正小标宋简体" w:hAnsi="微软雅黑" w:eastAsia="方正小标宋简体" w:cs="宋体"/>
          <w:color w:val="333333"/>
          <w:kern w:val="0"/>
          <w:sz w:val="21"/>
          <w:szCs w:val="21"/>
        </w:rPr>
      </w:pPr>
    </w:p>
    <w:p w14:paraId="7561170B">
      <w:pPr>
        <w:widowControl/>
        <w:shd w:val="clear" w:color="auto" w:fill="FFFFFF"/>
        <w:spacing w:line="525" w:lineRule="atLeast"/>
        <w:jc w:val="center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方正小标宋简体" w:hAnsi="微软雅黑" w:eastAsia="方正小标宋简体" w:cs="宋体"/>
          <w:color w:val="333333"/>
          <w:kern w:val="0"/>
          <w:sz w:val="21"/>
          <w:szCs w:val="21"/>
        </w:rPr>
        <w:t>第一部分</w:t>
      </w:r>
      <w:r>
        <w:rPr>
          <w:rFonts w:hint="eastAsia" w:ascii="微软雅黑" w:hAnsi="微软雅黑" w:eastAsia="微软雅黑" w:cs="宋体"/>
          <w:color w:val="333333"/>
          <w:kern w:val="0"/>
          <w:sz w:val="44"/>
          <w:szCs w:val="44"/>
        </w:rPr>
        <w:t xml:space="preserve"> </w:t>
      </w:r>
      <w:r>
        <w:rPr>
          <w:rFonts w:hint="eastAsia" w:ascii="方正小标宋简体" w:hAnsi="微软雅黑" w:eastAsia="方正小标宋简体" w:cs="宋体"/>
          <w:color w:val="333333"/>
          <w:kern w:val="0"/>
          <w:sz w:val="44"/>
          <w:szCs w:val="44"/>
          <w:lang w:eastAsia="zh-CN"/>
        </w:rPr>
        <w:t>抚松县露水河镇综合行政执法</w:t>
      </w:r>
      <w:r>
        <w:rPr>
          <w:rFonts w:hint="eastAsia" w:ascii="方正小标宋简体" w:hAnsi="微软雅黑" w:eastAsia="方正小标宋简体" w:cs="宋体"/>
          <w:color w:val="333333"/>
          <w:kern w:val="0"/>
          <w:sz w:val="44"/>
          <w:szCs w:val="44"/>
          <w:lang w:val="en-US" w:eastAsia="zh-CN"/>
        </w:rPr>
        <w:t>2025</w:t>
      </w:r>
      <w:r>
        <w:rPr>
          <w:rFonts w:hint="eastAsia" w:ascii="方正小标宋简体" w:hAnsi="微软雅黑" w:eastAsia="方正小标宋简体" w:cs="宋体"/>
          <w:color w:val="333333"/>
          <w:kern w:val="0"/>
          <w:sz w:val="44"/>
          <w:szCs w:val="44"/>
        </w:rPr>
        <w:t>年度年度行政执法数据表</w:t>
      </w:r>
    </w:p>
    <w:p w14:paraId="2C2AC136">
      <w:pPr>
        <w:widowControl/>
        <w:shd w:val="clear" w:color="auto" w:fill="FFFFFF"/>
        <w:spacing w:line="525" w:lineRule="atLeast"/>
        <w:ind w:firstLine="645"/>
        <w:jc w:val="left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ascii="微软雅黑" w:hAnsi="微软雅黑" w:eastAsia="微软雅黑" w:cs="宋体"/>
          <w:color w:val="333333"/>
          <w:kern w:val="0"/>
        </w:rPr>
        <w:t xml:space="preserve"> </w:t>
      </w:r>
    </w:p>
    <w:p w14:paraId="3C1EEC4C">
      <w:pPr>
        <w:widowControl/>
        <w:shd w:val="clear" w:color="auto" w:fill="FFFFFF"/>
        <w:spacing w:line="525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ascii="仿宋_GB2312" w:hAnsi="仿宋_GB2312" w:cs="宋体"/>
          <w:color w:val="333333"/>
          <w:kern w:val="0"/>
          <w:sz w:val="21"/>
          <w:szCs w:val="21"/>
        </w:rPr>
        <w:t>表一</w:t>
      </w:r>
    </w:p>
    <w:p w14:paraId="2C33CEDD">
      <w:pPr>
        <w:widowControl/>
        <w:shd w:val="clear" w:color="auto" w:fill="FFFFFF"/>
        <w:spacing w:line="525" w:lineRule="atLeast"/>
        <w:jc w:val="center"/>
        <w:rPr>
          <w:rFonts w:hint="eastAsia" w:ascii="微软雅黑" w:hAnsi="微软雅黑" w:eastAsia="微软雅黑" w:cs="宋体"/>
          <w:color w:val="333333"/>
          <w:kern w:val="0"/>
          <w:sz w:val="36"/>
          <w:szCs w:val="36"/>
        </w:rPr>
      </w:pPr>
      <w:r>
        <w:rPr>
          <w:rFonts w:hint="eastAsia" w:ascii="黑体" w:hAnsi="黑体" w:eastAsia="黑体" w:cs="宋体"/>
          <w:color w:val="333333"/>
          <w:kern w:val="0"/>
          <w:sz w:val="36"/>
          <w:szCs w:val="36"/>
          <w:lang w:eastAsia="zh-CN"/>
        </w:rPr>
        <w:t>抚松县露水河镇综合行政执法</w:t>
      </w:r>
      <w:r>
        <w:rPr>
          <w:rFonts w:hint="eastAsia" w:ascii="黑体" w:hAnsi="黑体" w:eastAsia="黑体" w:cs="宋体"/>
          <w:color w:val="333333"/>
          <w:kern w:val="0"/>
          <w:sz w:val="36"/>
          <w:szCs w:val="36"/>
          <w:lang w:val="en-US" w:eastAsia="zh-CN"/>
        </w:rPr>
        <w:t>2025</w:t>
      </w:r>
      <w:r>
        <w:rPr>
          <w:rFonts w:hint="eastAsia" w:ascii="黑体" w:hAnsi="黑体" w:eastAsia="黑体" w:cs="宋体"/>
          <w:color w:val="333333"/>
          <w:kern w:val="0"/>
          <w:sz w:val="36"/>
          <w:szCs w:val="36"/>
        </w:rPr>
        <w:t>年度行政处罚实施情况统计表</w:t>
      </w:r>
    </w:p>
    <w:p w14:paraId="2CC504A2">
      <w:pPr>
        <w:widowControl/>
        <w:shd w:val="clear" w:color="auto" w:fill="FFFFFF"/>
        <w:spacing w:line="525" w:lineRule="atLeast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 xml:space="preserve"> </w:t>
      </w:r>
    </w:p>
    <w:tbl>
      <w:tblPr>
        <w:tblStyle w:val="6"/>
        <w:tblW w:w="8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1069"/>
        <w:gridCol w:w="1523"/>
        <w:gridCol w:w="1536"/>
        <w:gridCol w:w="826"/>
        <w:gridCol w:w="826"/>
        <w:gridCol w:w="1056"/>
        <w:gridCol w:w="847"/>
      </w:tblGrid>
      <w:tr w14:paraId="11736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01590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8"/>
                <w:szCs w:val="28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8"/>
                <w:szCs w:val="28"/>
                <w:shd w:val="clear" w:color="auto" w:fill="FFFFFF"/>
              </w:rPr>
              <w:t>行政处罚实施数量（宗）</w:t>
            </w:r>
          </w:p>
        </w:tc>
      </w:tr>
      <w:tr w14:paraId="7E002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8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868CB">
            <w:pPr>
              <w:widowControl/>
              <w:spacing w:line="525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shd w:val="clear" w:color="auto" w:fill="FFFFFF"/>
              </w:rPr>
              <w:t>警告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shd w:val="clear" w:color="auto" w:fill="FFFFFF"/>
                <w:lang w:eastAsia="zh-CN"/>
              </w:rPr>
              <w:t>、通报批评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9D3B9C4">
            <w:pPr>
              <w:widowControl/>
              <w:spacing w:line="525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shd w:val="clear" w:color="auto" w:fill="FFFFFF"/>
              </w:rPr>
              <w:t>罚款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shd w:val="clear" w:color="auto" w:fill="FFFFFF"/>
                <w:lang w:eastAsia="zh-CN"/>
              </w:rPr>
              <w:t>、没收违法所得、没收非法财物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857FDCB">
            <w:pPr>
              <w:widowControl/>
              <w:spacing w:line="525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333333"/>
                <w:sz w:val="28"/>
                <w:szCs w:val="28"/>
                <w:lang w:eastAsia="zh-CN"/>
              </w:rPr>
              <w:t>暂扣许可证件、降低资质等级、吊销许可证件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6D4F333">
            <w:pPr>
              <w:widowControl/>
              <w:spacing w:line="525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shd w:val="clear" w:color="auto" w:fill="FFFFFF"/>
                <w:lang w:eastAsia="zh-CN"/>
              </w:rPr>
              <w:t>限制开展生产经营活动、责令停产停业、责令关闭、限制从业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E9FB3DD">
            <w:pPr>
              <w:widowControl/>
              <w:spacing w:line="525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eastAsia="zh-CN"/>
              </w:rPr>
              <w:t>行政拘留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5016484">
            <w:pPr>
              <w:widowControl/>
              <w:spacing w:line="525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shd w:val="clear" w:color="auto" w:fill="FFFFFF"/>
              </w:rPr>
              <w:t>其他行政处罚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6227CF5">
            <w:pPr>
              <w:widowControl/>
              <w:spacing w:line="525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shd w:val="clear" w:color="auto" w:fill="FFFFFF"/>
              </w:rPr>
              <w:t>合计（宗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shd w:val="clear" w:color="auto" w:fill="FFFFFF"/>
                <w:lang w:eastAsia="zh-CN"/>
              </w:rPr>
              <w:t>）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39E245A">
            <w:pPr>
              <w:widowControl/>
              <w:spacing w:line="525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shd w:val="clear" w:color="auto" w:fill="FFFFFF"/>
              </w:rPr>
              <w:t>罚没金额（万元）</w:t>
            </w:r>
          </w:p>
        </w:tc>
      </w:tr>
      <w:tr w14:paraId="5AABC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1FCB2">
            <w:pPr>
              <w:widowControl/>
              <w:spacing w:line="525" w:lineRule="atLeast"/>
              <w:jc w:val="center"/>
              <w:rPr>
                <w:rFonts w:hint="eastAsia" w:ascii="微软雅黑" w:hAnsi="微软雅黑" w:eastAsia="微软雅黑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4F88D83">
            <w:pPr>
              <w:widowControl/>
              <w:spacing w:line="525" w:lineRule="atLeast"/>
              <w:jc w:val="center"/>
              <w:rPr>
                <w:rFonts w:hint="eastAsia" w:ascii="微软雅黑" w:hAnsi="微软雅黑" w:eastAsia="微软雅黑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8F17FD1">
            <w:pPr>
              <w:widowControl/>
              <w:spacing w:line="525" w:lineRule="atLeast"/>
              <w:jc w:val="center"/>
              <w:rPr>
                <w:rFonts w:hint="eastAsia" w:ascii="微软雅黑" w:hAnsi="微软雅黑" w:eastAsia="微软雅黑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085EAC7">
            <w:pPr>
              <w:widowControl/>
              <w:spacing w:line="525" w:lineRule="atLeast"/>
              <w:jc w:val="center"/>
              <w:rPr>
                <w:rFonts w:hint="eastAsia" w:ascii="微软雅黑" w:hAnsi="微软雅黑" w:eastAsia="微软雅黑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1A1C9B6">
            <w:pPr>
              <w:widowControl/>
              <w:spacing w:line="525" w:lineRule="atLeast"/>
              <w:jc w:val="center"/>
              <w:rPr>
                <w:rFonts w:hint="eastAsia" w:ascii="微软雅黑" w:hAnsi="微软雅黑" w:eastAsia="微软雅黑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3FA09E8">
            <w:pPr>
              <w:widowControl/>
              <w:spacing w:line="525" w:lineRule="atLeast"/>
              <w:jc w:val="center"/>
              <w:rPr>
                <w:rFonts w:hint="eastAsia" w:ascii="微软雅黑" w:hAnsi="微软雅黑" w:eastAsia="微软雅黑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9910EB5">
            <w:pPr>
              <w:widowControl/>
              <w:spacing w:line="525" w:lineRule="atLeast"/>
              <w:jc w:val="center"/>
              <w:rPr>
                <w:rFonts w:hint="eastAsia" w:ascii="微软雅黑" w:hAnsi="微软雅黑" w:eastAsia="微软雅黑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34EDBE6">
            <w:pPr>
              <w:widowControl/>
              <w:spacing w:line="525" w:lineRule="atLeast"/>
              <w:jc w:val="center"/>
              <w:rPr>
                <w:rFonts w:hint="eastAsia" w:ascii="微软雅黑" w:hAnsi="微软雅黑" w:eastAsia="微软雅黑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0560D566">
      <w:pPr>
        <w:widowControl/>
        <w:shd w:val="clear" w:color="auto" w:fill="FFFFFF"/>
        <w:spacing w:line="525" w:lineRule="atLeast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说明：</w:t>
      </w:r>
    </w:p>
    <w:p w14:paraId="46B0AA7F">
      <w:pPr>
        <w:widowControl/>
        <w:shd w:val="clear" w:color="auto" w:fill="FFFFFF"/>
        <w:spacing w:line="525" w:lineRule="atLeast"/>
        <w:ind w:firstLine="480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1.行政处罚实施数量的统计范围为统计年度1月1日至12月31日期间作出行政处罚决定的数量。</w:t>
      </w:r>
    </w:p>
    <w:p w14:paraId="52890D99">
      <w:pPr>
        <w:widowControl/>
        <w:shd w:val="clear" w:color="auto" w:fill="FFFFFF"/>
        <w:spacing w:line="525" w:lineRule="atLeast"/>
        <w:ind w:firstLine="480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2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</w:t>
      </w:r>
      <w:r>
        <w:rPr>
          <w:rFonts w:hint="eastAsia" w:ascii="仿宋" w:hAnsi="仿宋"/>
          <w:color w:val="333333"/>
          <w:kern w:val="0"/>
          <w:lang w:eastAsia="zh-CN"/>
        </w:rPr>
        <w:t>、通报批评；</w:t>
      </w:r>
      <w:r>
        <w:rPr>
          <w:rFonts w:hint="eastAsia" w:ascii="仿宋" w:hAnsi="仿宋"/>
          <w:color w:val="333333"/>
          <w:kern w:val="0"/>
        </w:rPr>
        <w:t>（2）罚款</w:t>
      </w:r>
      <w:r>
        <w:rPr>
          <w:rFonts w:hint="eastAsia" w:ascii="仿宋" w:hAnsi="仿宋"/>
          <w:color w:val="333333"/>
          <w:kern w:val="0"/>
          <w:lang w:eastAsia="zh-CN"/>
        </w:rPr>
        <w:t>、</w:t>
      </w:r>
      <w:r>
        <w:rPr>
          <w:rFonts w:hint="eastAsia" w:ascii="仿宋" w:hAnsi="仿宋"/>
          <w:color w:val="333333"/>
          <w:kern w:val="0"/>
        </w:rPr>
        <w:t>没收违法所得、没收非法财物</w:t>
      </w:r>
      <w:r>
        <w:rPr>
          <w:rFonts w:hint="eastAsia" w:ascii="仿宋" w:hAnsi="仿宋"/>
          <w:color w:val="333333"/>
          <w:kern w:val="0"/>
          <w:lang w:eastAsia="zh-CN"/>
        </w:rPr>
        <w:t>；</w:t>
      </w:r>
      <w:r>
        <w:rPr>
          <w:rFonts w:hint="eastAsia" w:ascii="仿宋" w:hAnsi="仿宋"/>
          <w:color w:val="333333"/>
          <w:kern w:val="0"/>
        </w:rPr>
        <w:t>（</w:t>
      </w:r>
      <w:r>
        <w:rPr>
          <w:rFonts w:hint="eastAsia" w:ascii="仿宋" w:hAnsi="仿宋"/>
          <w:color w:val="333333"/>
          <w:kern w:val="0"/>
          <w:lang w:val="en-US" w:eastAsia="zh-CN"/>
        </w:rPr>
        <w:t>3</w:t>
      </w:r>
      <w:r>
        <w:rPr>
          <w:rFonts w:hint="eastAsia" w:ascii="仿宋" w:hAnsi="仿宋"/>
          <w:color w:val="333333"/>
          <w:kern w:val="0"/>
        </w:rPr>
        <w:t>）暂扣许可证</w:t>
      </w:r>
      <w:r>
        <w:rPr>
          <w:rFonts w:hint="eastAsia" w:ascii="仿宋" w:hAnsi="仿宋"/>
          <w:color w:val="333333"/>
          <w:kern w:val="0"/>
          <w:lang w:eastAsia="zh-CN"/>
        </w:rPr>
        <w:t>件</w:t>
      </w:r>
      <w:r>
        <w:rPr>
          <w:rFonts w:hint="eastAsia" w:ascii="仿宋" w:hAnsi="仿宋"/>
          <w:color w:val="333333"/>
          <w:kern w:val="0"/>
        </w:rPr>
        <w:t>、</w:t>
      </w:r>
      <w:r>
        <w:rPr>
          <w:rFonts w:hint="eastAsia" w:ascii="仿宋" w:hAnsi="仿宋"/>
          <w:color w:val="333333"/>
          <w:kern w:val="0"/>
          <w:lang w:eastAsia="zh-CN"/>
        </w:rPr>
        <w:t>降低资质等级、吊销许可证件；</w:t>
      </w:r>
      <w:r>
        <w:rPr>
          <w:rFonts w:hint="eastAsia" w:ascii="仿宋" w:hAnsi="仿宋"/>
          <w:color w:val="333333"/>
          <w:kern w:val="0"/>
        </w:rPr>
        <w:t>（</w:t>
      </w:r>
      <w:r>
        <w:rPr>
          <w:rFonts w:hint="eastAsia" w:ascii="仿宋" w:hAnsi="仿宋"/>
          <w:color w:val="333333"/>
          <w:kern w:val="0"/>
          <w:lang w:val="en-US" w:eastAsia="zh-CN"/>
        </w:rPr>
        <w:t>4</w:t>
      </w:r>
      <w:r>
        <w:rPr>
          <w:rFonts w:hint="eastAsia" w:ascii="仿宋" w:hAnsi="仿宋"/>
          <w:color w:val="333333"/>
          <w:kern w:val="0"/>
        </w:rPr>
        <w:t>）</w:t>
      </w:r>
      <w:r>
        <w:rPr>
          <w:rStyle w:val="8"/>
          <w:rFonts w:hint="eastAsia" w:ascii="仿宋" w:hAnsi="仿宋" w:eastAsia="仿宋" w:cs="仿宋"/>
          <w:b w:val="0"/>
          <w:bCs w:val="0"/>
          <w:color w:val="333333"/>
          <w:kern w:val="0"/>
          <w:sz w:val="32"/>
          <w:szCs w:val="32"/>
          <w:shd w:val="clear" w:color="auto" w:fill="FFFFFF"/>
          <w:lang w:eastAsia="zh-CN"/>
        </w:rPr>
        <w:t>限制开展生产经营活动、责令停产停业、责令关闭、限制从业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；</w:t>
      </w:r>
      <w:r>
        <w:rPr>
          <w:rFonts w:hint="eastAsia" w:ascii="仿宋" w:hAnsi="仿宋"/>
          <w:color w:val="333333"/>
          <w:kern w:val="0"/>
        </w:rPr>
        <w:t>（</w:t>
      </w:r>
      <w:r>
        <w:rPr>
          <w:rFonts w:hint="eastAsia" w:ascii="仿宋" w:hAnsi="仿宋"/>
          <w:color w:val="333333"/>
          <w:kern w:val="0"/>
          <w:lang w:val="en-US" w:eastAsia="zh-CN"/>
        </w:rPr>
        <w:t>5</w:t>
      </w:r>
      <w:r>
        <w:rPr>
          <w:rFonts w:hint="eastAsia" w:ascii="仿宋" w:hAnsi="仿宋"/>
          <w:color w:val="333333"/>
          <w:kern w:val="0"/>
        </w:rPr>
        <w:t>）行政拘留。</w:t>
      </w:r>
    </w:p>
    <w:p w14:paraId="0F8C7C77">
      <w:pPr>
        <w:widowControl/>
        <w:shd w:val="clear" w:color="auto" w:fill="FFFFFF"/>
        <w:spacing w:line="525" w:lineRule="atLeast"/>
        <w:ind w:firstLine="480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3.“没收违法所得、没收非法财物”能确定金额的，计入“罚没金额”；不能确定金额的，不计入“罚没金额”。</w:t>
      </w:r>
    </w:p>
    <w:p w14:paraId="79FEC9FE">
      <w:pPr>
        <w:widowControl/>
        <w:shd w:val="clear" w:color="auto" w:fill="FFFFFF"/>
        <w:spacing w:line="525" w:lineRule="atLeast"/>
        <w:ind w:firstLine="480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4.“罚没金额”以处罚决定书确定的金额为准。</w:t>
      </w:r>
    </w:p>
    <w:p w14:paraId="366A3226">
      <w:pPr>
        <w:widowControl/>
        <w:shd w:val="clear" w:color="auto" w:fill="FFFFFF"/>
        <w:spacing w:line="525" w:lineRule="atLeast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 xml:space="preserve"> </w:t>
      </w:r>
    </w:p>
    <w:p w14:paraId="47A20FCA">
      <w:pPr>
        <w:widowControl/>
        <w:shd w:val="clear" w:color="auto" w:fill="FFFFFF"/>
        <w:spacing w:line="525" w:lineRule="atLeast"/>
        <w:jc w:val="left"/>
        <w:rPr>
          <w:rFonts w:ascii="仿宋_GB2312" w:hAnsi="仿宋_GB2312" w:cs="宋体"/>
          <w:color w:val="333333"/>
          <w:kern w:val="0"/>
          <w:sz w:val="21"/>
          <w:szCs w:val="21"/>
        </w:rPr>
      </w:pPr>
    </w:p>
    <w:p w14:paraId="7766A882">
      <w:pPr>
        <w:widowControl/>
        <w:shd w:val="clear" w:color="auto" w:fill="FFFFFF"/>
        <w:spacing w:line="525" w:lineRule="atLeast"/>
        <w:jc w:val="left"/>
        <w:rPr>
          <w:rFonts w:ascii="仿宋_GB2312" w:hAnsi="仿宋_GB2312" w:cs="宋体"/>
          <w:color w:val="333333"/>
          <w:kern w:val="0"/>
          <w:sz w:val="21"/>
          <w:szCs w:val="21"/>
        </w:rPr>
      </w:pPr>
    </w:p>
    <w:p w14:paraId="02CCC1B8">
      <w:pPr>
        <w:widowControl/>
        <w:shd w:val="clear" w:color="auto" w:fill="FFFFFF"/>
        <w:spacing w:line="525" w:lineRule="atLeast"/>
        <w:jc w:val="left"/>
        <w:rPr>
          <w:rFonts w:ascii="仿宋_GB2312" w:hAnsi="仿宋_GB2312" w:cs="宋体"/>
          <w:color w:val="333333"/>
          <w:kern w:val="0"/>
          <w:sz w:val="21"/>
          <w:szCs w:val="21"/>
        </w:rPr>
      </w:pPr>
    </w:p>
    <w:p w14:paraId="3E211F6B">
      <w:pPr>
        <w:widowControl/>
        <w:shd w:val="clear" w:color="auto" w:fill="FFFFFF"/>
        <w:spacing w:line="525" w:lineRule="atLeast"/>
        <w:jc w:val="left"/>
        <w:rPr>
          <w:rFonts w:ascii="仿宋_GB2312" w:hAnsi="仿宋_GB2312" w:cs="宋体"/>
          <w:color w:val="333333"/>
          <w:kern w:val="0"/>
          <w:sz w:val="21"/>
          <w:szCs w:val="21"/>
        </w:rPr>
      </w:pPr>
    </w:p>
    <w:p w14:paraId="69653F80">
      <w:pPr>
        <w:widowControl/>
        <w:shd w:val="clear" w:color="auto" w:fill="FFFFFF"/>
        <w:spacing w:line="525" w:lineRule="atLeast"/>
        <w:jc w:val="left"/>
        <w:rPr>
          <w:rFonts w:ascii="仿宋_GB2312" w:hAnsi="仿宋_GB2312" w:cs="宋体"/>
          <w:color w:val="333333"/>
          <w:kern w:val="0"/>
          <w:sz w:val="21"/>
          <w:szCs w:val="21"/>
        </w:rPr>
      </w:pPr>
    </w:p>
    <w:p w14:paraId="27B4DEAB">
      <w:pPr>
        <w:widowControl/>
        <w:shd w:val="clear" w:color="auto" w:fill="FFFFFF"/>
        <w:spacing w:line="525" w:lineRule="atLeast"/>
        <w:jc w:val="left"/>
        <w:rPr>
          <w:rFonts w:ascii="仿宋_GB2312" w:hAnsi="仿宋_GB2312" w:cs="宋体"/>
          <w:color w:val="333333"/>
          <w:kern w:val="0"/>
          <w:sz w:val="21"/>
          <w:szCs w:val="21"/>
        </w:rPr>
      </w:pPr>
    </w:p>
    <w:p w14:paraId="0246C73B">
      <w:pPr>
        <w:widowControl/>
        <w:shd w:val="clear" w:color="auto" w:fill="FFFFFF"/>
        <w:spacing w:line="525" w:lineRule="atLeast"/>
        <w:jc w:val="left"/>
        <w:rPr>
          <w:rFonts w:ascii="仿宋_GB2312" w:hAnsi="仿宋_GB2312" w:cs="宋体"/>
          <w:color w:val="333333"/>
          <w:kern w:val="0"/>
          <w:sz w:val="21"/>
          <w:szCs w:val="21"/>
        </w:rPr>
      </w:pPr>
    </w:p>
    <w:p w14:paraId="3AD586E0">
      <w:pPr>
        <w:widowControl/>
        <w:shd w:val="clear" w:color="auto" w:fill="FFFFFF"/>
        <w:spacing w:line="525" w:lineRule="atLeast"/>
        <w:jc w:val="left"/>
        <w:rPr>
          <w:rFonts w:ascii="仿宋_GB2312" w:hAnsi="仿宋_GB2312" w:cs="宋体"/>
          <w:color w:val="333333"/>
          <w:kern w:val="0"/>
          <w:sz w:val="21"/>
          <w:szCs w:val="21"/>
        </w:rPr>
      </w:pPr>
    </w:p>
    <w:p w14:paraId="6DF9AD69">
      <w:pPr>
        <w:widowControl/>
        <w:shd w:val="clear" w:color="auto" w:fill="FFFFFF"/>
        <w:spacing w:line="525" w:lineRule="atLeast"/>
        <w:jc w:val="left"/>
        <w:rPr>
          <w:rFonts w:ascii="仿宋_GB2312" w:hAnsi="仿宋_GB2312" w:cs="宋体"/>
          <w:color w:val="333333"/>
          <w:kern w:val="0"/>
          <w:sz w:val="21"/>
          <w:szCs w:val="21"/>
        </w:rPr>
      </w:pPr>
    </w:p>
    <w:p w14:paraId="04F1599A">
      <w:pPr>
        <w:widowControl/>
        <w:shd w:val="clear" w:color="auto" w:fill="FFFFFF"/>
        <w:spacing w:line="525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ascii="仿宋_GB2312" w:hAnsi="仿宋_GB2312" w:cs="宋体"/>
          <w:color w:val="333333"/>
          <w:kern w:val="0"/>
          <w:sz w:val="21"/>
          <w:szCs w:val="21"/>
        </w:rPr>
        <w:t>表二</w:t>
      </w:r>
    </w:p>
    <w:p w14:paraId="1F8D577C">
      <w:pPr>
        <w:widowControl/>
        <w:shd w:val="clear" w:color="auto" w:fill="FFFFFF"/>
        <w:spacing w:line="525" w:lineRule="atLeast"/>
        <w:jc w:val="center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黑体" w:hAnsi="黑体" w:eastAsia="黑体" w:cs="宋体"/>
          <w:color w:val="333333"/>
          <w:kern w:val="0"/>
          <w:sz w:val="36"/>
          <w:szCs w:val="36"/>
          <w:lang w:eastAsia="zh-CN"/>
        </w:rPr>
        <w:t>抚松县露水河镇综合行政执法</w:t>
      </w:r>
      <w:r>
        <w:rPr>
          <w:rFonts w:hint="eastAsia" w:ascii="黑体" w:hAnsi="黑体" w:eastAsia="黑体" w:cs="宋体"/>
          <w:color w:val="333333"/>
          <w:kern w:val="0"/>
          <w:sz w:val="36"/>
          <w:szCs w:val="36"/>
          <w:lang w:val="en-US" w:eastAsia="zh-CN"/>
        </w:rPr>
        <w:t>2025</w:t>
      </w:r>
      <w:r>
        <w:rPr>
          <w:rFonts w:hint="eastAsia" w:ascii="黑体" w:hAnsi="黑体" w:eastAsia="黑体" w:cs="宋体"/>
          <w:color w:val="333333"/>
          <w:kern w:val="0"/>
          <w:sz w:val="36"/>
          <w:szCs w:val="36"/>
        </w:rPr>
        <w:t>年度行政许可实施情况统计表</w:t>
      </w:r>
    </w:p>
    <w:p w14:paraId="5B75EEAF">
      <w:pPr>
        <w:widowControl/>
        <w:shd w:val="clear" w:color="auto" w:fill="FFFFFF"/>
        <w:spacing w:line="525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ascii="微软雅黑" w:hAnsi="微软雅黑" w:eastAsia="微软雅黑" w:cs="宋体"/>
          <w:color w:val="333333"/>
          <w:kern w:val="0"/>
        </w:rPr>
        <w:t xml:space="preserve">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1A2E7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EB4F5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行政许可实施数量（宗）</w:t>
            </w:r>
          </w:p>
        </w:tc>
      </w:tr>
      <w:tr w14:paraId="472B5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EEF17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申请数量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371735A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受理数量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663FC3E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许可数量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3F031B0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不予许可数量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AE4B1B3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撤销许可数量</w:t>
            </w:r>
          </w:p>
        </w:tc>
      </w:tr>
      <w:tr w14:paraId="7B224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9B351">
            <w:pPr>
              <w:widowControl/>
              <w:spacing w:line="525" w:lineRule="atLeast"/>
              <w:jc w:val="center"/>
              <w:rPr>
                <w:rFonts w:hint="eastAsia" w:ascii="仿宋" w:hAnsi="仿宋" w:eastAsia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EBBF2EA">
            <w:pPr>
              <w:widowControl/>
              <w:spacing w:line="525" w:lineRule="atLeast"/>
              <w:jc w:val="center"/>
              <w:rPr>
                <w:rFonts w:hint="eastAsia" w:ascii="仿宋" w:hAnsi="仿宋" w:eastAsia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77A0FE0">
            <w:pPr>
              <w:widowControl/>
              <w:spacing w:line="525" w:lineRule="atLeast"/>
              <w:jc w:val="center"/>
              <w:rPr>
                <w:rFonts w:hint="eastAsia" w:ascii="仿宋" w:hAnsi="仿宋" w:eastAsia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04FC123">
            <w:pPr>
              <w:widowControl/>
              <w:spacing w:line="525" w:lineRule="atLeast"/>
              <w:jc w:val="center"/>
              <w:rPr>
                <w:rFonts w:hint="eastAsia" w:ascii="仿宋" w:hAnsi="仿宋" w:eastAsia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F0822B7">
            <w:pPr>
              <w:widowControl/>
              <w:spacing w:line="525" w:lineRule="atLeast"/>
              <w:jc w:val="center"/>
              <w:rPr>
                <w:rFonts w:hint="eastAsia" w:ascii="仿宋" w:hAnsi="仿宋" w:eastAsia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4538DE11">
      <w:pPr>
        <w:widowControl/>
        <w:shd w:val="clear" w:color="auto" w:fill="FFFFFF"/>
        <w:spacing w:line="525" w:lineRule="atLeast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说明：</w:t>
      </w:r>
    </w:p>
    <w:p w14:paraId="74F60773">
      <w:pPr>
        <w:widowControl/>
        <w:shd w:val="clear" w:color="auto" w:fill="FFFFFF"/>
        <w:spacing w:line="525" w:lineRule="atLeast"/>
        <w:ind w:firstLine="480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1.“申请数量”的统计范围为统计年度1月1日至12月31日期间许可机关收到当事人许可申请的数量。</w:t>
      </w:r>
    </w:p>
    <w:p w14:paraId="138D88DE">
      <w:pPr>
        <w:widowControl/>
        <w:shd w:val="clear" w:color="auto" w:fill="FFFFFF"/>
        <w:spacing w:line="525" w:lineRule="atLeast"/>
        <w:ind w:firstLine="480"/>
        <w:jc w:val="left"/>
        <w:rPr>
          <w:rFonts w:hint="eastAsia" w:ascii="仿宋_GB2312" w:hAnsi="微软雅黑" w:cs="宋体"/>
          <w:color w:val="333333"/>
          <w:kern w:val="0"/>
          <w:sz w:val="21"/>
          <w:szCs w:val="21"/>
        </w:rPr>
      </w:pPr>
      <w:r>
        <w:rPr>
          <w:rFonts w:hint="eastAsia" w:ascii="仿宋" w:hAnsi="仿宋"/>
          <w:color w:val="333333"/>
          <w:kern w:val="0"/>
        </w:rPr>
        <w:t>2.“受理数量”、“许可数量”、“不予许可数量”、“撤销许可数量”的统计范围为统计年度1月1日至12月31日期间许可机关作出受理决定、许可决定、不予许可决定和撤销许可决定的数量。</w:t>
      </w:r>
    </w:p>
    <w:p w14:paraId="505D1BAF">
      <w:pPr>
        <w:widowControl/>
        <w:shd w:val="clear" w:color="auto" w:fill="FFFFFF"/>
        <w:spacing w:line="525" w:lineRule="atLeast"/>
        <w:jc w:val="left"/>
        <w:rPr>
          <w:rFonts w:ascii="仿宋_GB2312" w:hAnsi="仿宋_GB2312" w:cs="宋体"/>
          <w:color w:val="333333"/>
          <w:kern w:val="0"/>
          <w:sz w:val="21"/>
          <w:szCs w:val="21"/>
        </w:rPr>
      </w:pPr>
    </w:p>
    <w:p w14:paraId="473D5975">
      <w:pPr>
        <w:widowControl/>
        <w:shd w:val="clear" w:color="auto" w:fill="FFFFFF"/>
        <w:spacing w:line="525" w:lineRule="atLeast"/>
        <w:jc w:val="left"/>
        <w:rPr>
          <w:rFonts w:ascii="仿宋_GB2312" w:hAnsi="仿宋_GB2312" w:cs="宋体"/>
          <w:color w:val="333333"/>
          <w:kern w:val="0"/>
          <w:sz w:val="21"/>
          <w:szCs w:val="21"/>
        </w:rPr>
      </w:pPr>
    </w:p>
    <w:p w14:paraId="592A03D3">
      <w:pPr>
        <w:widowControl/>
        <w:shd w:val="clear" w:color="auto" w:fill="FFFFFF"/>
        <w:spacing w:line="525" w:lineRule="atLeast"/>
        <w:jc w:val="left"/>
        <w:rPr>
          <w:rFonts w:ascii="仿宋_GB2312" w:hAnsi="仿宋_GB2312" w:cs="宋体"/>
          <w:color w:val="333333"/>
          <w:kern w:val="0"/>
          <w:sz w:val="21"/>
          <w:szCs w:val="21"/>
        </w:rPr>
      </w:pPr>
    </w:p>
    <w:p w14:paraId="06689112">
      <w:pPr>
        <w:widowControl/>
        <w:shd w:val="clear" w:color="auto" w:fill="FFFFFF"/>
        <w:spacing w:line="525" w:lineRule="atLeast"/>
        <w:jc w:val="left"/>
        <w:rPr>
          <w:rFonts w:ascii="仿宋_GB2312" w:hAnsi="仿宋_GB2312" w:cs="宋体"/>
          <w:color w:val="333333"/>
          <w:kern w:val="0"/>
          <w:sz w:val="21"/>
          <w:szCs w:val="21"/>
        </w:rPr>
      </w:pPr>
    </w:p>
    <w:p w14:paraId="4CDDCBEE">
      <w:pPr>
        <w:widowControl/>
        <w:shd w:val="clear" w:color="auto" w:fill="FFFFFF"/>
        <w:spacing w:line="525" w:lineRule="atLeast"/>
        <w:jc w:val="left"/>
        <w:rPr>
          <w:rFonts w:ascii="仿宋_GB2312" w:hAnsi="仿宋_GB2312" w:cs="宋体"/>
          <w:color w:val="333333"/>
          <w:kern w:val="0"/>
          <w:sz w:val="21"/>
          <w:szCs w:val="21"/>
        </w:rPr>
      </w:pPr>
    </w:p>
    <w:p w14:paraId="514FFE7C">
      <w:pPr>
        <w:widowControl/>
        <w:shd w:val="clear" w:color="auto" w:fill="FFFFFF"/>
        <w:spacing w:line="525" w:lineRule="atLeast"/>
        <w:jc w:val="left"/>
        <w:rPr>
          <w:rFonts w:ascii="仿宋_GB2312" w:hAnsi="仿宋_GB2312" w:cs="宋体"/>
          <w:color w:val="333333"/>
          <w:kern w:val="0"/>
          <w:sz w:val="21"/>
          <w:szCs w:val="21"/>
        </w:rPr>
      </w:pPr>
    </w:p>
    <w:p w14:paraId="7B77FBE8">
      <w:pPr>
        <w:widowControl/>
        <w:shd w:val="clear" w:color="auto" w:fill="FFFFFF"/>
        <w:spacing w:line="525" w:lineRule="atLeast"/>
        <w:jc w:val="left"/>
        <w:rPr>
          <w:rFonts w:ascii="仿宋_GB2312" w:hAnsi="仿宋_GB2312" w:cs="宋体"/>
          <w:color w:val="333333"/>
          <w:kern w:val="0"/>
          <w:sz w:val="21"/>
          <w:szCs w:val="21"/>
        </w:rPr>
      </w:pPr>
    </w:p>
    <w:p w14:paraId="05C1D5AB">
      <w:pPr>
        <w:widowControl/>
        <w:shd w:val="clear" w:color="auto" w:fill="FFFFFF"/>
        <w:spacing w:line="525" w:lineRule="atLeast"/>
        <w:jc w:val="left"/>
        <w:rPr>
          <w:rFonts w:ascii="仿宋_GB2312" w:hAnsi="仿宋_GB2312" w:cs="宋体"/>
          <w:color w:val="333333"/>
          <w:kern w:val="0"/>
          <w:sz w:val="21"/>
          <w:szCs w:val="21"/>
        </w:rPr>
      </w:pPr>
    </w:p>
    <w:p w14:paraId="65937C3D">
      <w:pPr>
        <w:widowControl/>
        <w:shd w:val="clear" w:color="auto" w:fill="FFFFFF"/>
        <w:spacing w:line="525" w:lineRule="atLeast"/>
        <w:jc w:val="left"/>
        <w:rPr>
          <w:rFonts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ascii="仿宋_GB2312" w:hAnsi="仿宋_GB2312" w:cs="宋体"/>
          <w:color w:val="333333"/>
          <w:kern w:val="0"/>
          <w:sz w:val="21"/>
          <w:szCs w:val="21"/>
        </w:rPr>
        <w:t>表三</w:t>
      </w:r>
    </w:p>
    <w:p w14:paraId="04FAD649">
      <w:pPr>
        <w:widowControl/>
        <w:shd w:val="clear" w:color="auto" w:fill="FFFFFF"/>
        <w:spacing w:line="525" w:lineRule="atLeast"/>
        <w:jc w:val="center"/>
        <w:rPr>
          <w:rFonts w:hint="eastAsia" w:ascii="微软雅黑" w:hAnsi="微软雅黑" w:eastAsia="微软雅黑" w:cs="宋体"/>
          <w:color w:val="333333"/>
          <w:kern w:val="0"/>
          <w:sz w:val="36"/>
          <w:szCs w:val="36"/>
        </w:rPr>
      </w:pPr>
      <w:r>
        <w:rPr>
          <w:rFonts w:hint="eastAsia" w:ascii="黑体" w:hAnsi="黑体" w:eastAsia="黑体" w:cs="宋体"/>
          <w:color w:val="333333"/>
          <w:kern w:val="0"/>
          <w:sz w:val="36"/>
          <w:szCs w:val="36"/>
          <w:lang w:eastAsia="zh-CN"/>
        </w:rPr>
        <w:t>抚松县露水河镇综合行政执法</w:t>
      </w:r>
      <w:r>
        <w:rPr>
          <w:rFonts w:hint="eastAsia" w:ascii="黑体" w:hAnsi="黑体" w:eastAsia="黑体" w:cs="宋体"/>
          <w:color w:val="333333"/>
          <w:kern w:val="0"/>
          <w:sz w:val="36"/>
          <w:szCs w:val="36"/>
          <w:lang w:val="en-US" w:eastAsia="zh-CN"/>
        </w:rPr>
        <w:t>2025</w:t>
      </w:r>
      <w:r>
        <w:rPr>
          <w:rFonts w:hint="eastAsia" w:ascii="黑体" w:hAnsi="黑体" w:eastAsia="黑体" w:cs="宋体"/>
          <w:color w:val="333333"/>
          <w:kern w:val="0"/>
          <w:sz w:val="36"/>
          <w:szCs w:val="36"/>
        </w:rPr>
        <w:t>年度行政强制实施情况统计表</w:t>
      </w:r>
    </w:p>
    <w:p w14:paraId="3D5959BA">
      <w:pPr>
        <w:widowControl/>
        <w:shd w:val="clear" w:color="auto" w:fill="FFFFFF"/>
        <w:spacing w:line="525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ascii="微软雅黑" w:hAnsi="微软雅黑" w:eastAsia="微软雅黑" w:cs="宋体"/>
          <w:color w:val="333333"/>
          <w:kern w:val="0"/>
        </w:rPr>
        <w:t xml:space="preserve">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10"/>
        <w:gridCol w:w="710"/>
        <w:gridCol w:w="709"/>
        <w:gridCol w:w="709"/>
        <w:gridCol w:w="709"/>
        <w:gridCol w:w="709"/>
        <w:gridCol w:w="710"/>
        <w:gridCol w:w="709"/>
        <w:gridCol w:w="709"/>
        <w:gridCol w:w="719"/>
        <w:gridCol w:w="710"/>
      </w:tblGrid>
      <w:tr w14:paraId="76D5D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84A59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行政强制措施实施数量（宗）</w:t>
            </w:r>
          </w:p>
        </w:tc>
        <w:tc>
          <w:tcPr>
            <w:tcW w:w="497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6C1F05A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行政强制执行实施数量（宗）</w:t>
            </w:r>
          </w:p>
        </w:tc>
        <w:tc>
          <w:tcPr>
            <w:tcW w:w="71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57872A4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合计</w:t>
            </w:r>
          </w:p>
        </w:tc>
      </w:tr>
      <w:tr w14:paraId="43F28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C9B5F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查封场所、设施或者财物</w:t>
            </w:r>
          </w:p>
        </w:tc>
        <w:tc>
          <w:tcPr>
            <w:tcW w:w="71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EB268EC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扣押财物</w:t>
            </w:r>
          </w:p>
        </w:tc>
        <w:tc>
          <w:tcPr>
            <w:tcW w:w="71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1B7DF44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冻结存款、汇款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B3ADD9E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其他行政强制措施</w:t>
            </w:r>
          </w:p>
        </w:tc>
        <w:tc>
          <w:tcPr>
            <w:tcW w:w="42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0DDEEE6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行政机关强制执行</w:t>
            </w:r>
          </w:p>
        </w:tc>
        <w:tc>
          <w:tcPr>
            <w:tcW w:w="71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931B63A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申请法院强制执行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338420">
            <w:pPr>
              <w:widowControl/>
              <w:jc w:val="left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</w:p>
        </w:tc>
      </w:tr>
      <w:tr w14:paraId="4EAC3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58A9D">
            <w:pPr>
              <w:widowControl/>
              <w:jc w:val="left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F2997B">
            <w:pPr>
              <w:widowControl/>
              <w:jc w:val="left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744F2B">
            <w:pPr>
              <w:widowControl/>
              <w:jc w:val="left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E3DB02">
            <w:pPr>
              <w:widowControl/>
              <w:jc w:val="left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3C635C7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加处罚款或者滞纳金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7BF545E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划拨存款、汇款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991FE1D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拍卖或者依法处理查封、扣押的场所、设施或者财物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3D8B212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排除妨碍、恢复原状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ED0F657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代履行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8035A67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其他强制执行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583336">
            <w:pPr>
              <w:widowControl/>
              <w:jc w:val="left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28802E">
            <w:pPr>
              <w:widowControl/>
              <w:jc w:val="left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</w:p>
        </w:tc>
      </w:tr>
      <w:tr w14:paraId="71384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A3B99">
            <w:pPr>
              <w:widowControl/>
              <w:spacing w:line="525" w:lineRule="atLeast"/>
              <w:jc w:val="center"/>
              <w:rPr>
                <w:rFonts w:hint="eastAsia" w:ascii="仿宋" w:hAnsi="仿宋" w:eastAsia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83899AE">
            <w:pPr>
              <w:widowControl/>
              <w:spacing w:line="525" w:lineRule="atLeast"/>
              <w:jc w:val="center"/>
              <w:rPr>
                <w:rFonts w:hint="eastAsia" w:ascii="仿宋" w:hAnsi="仿宋" w:eastAsia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19EBF44">
            <w:pPr>
              <w:widowControl/>
              <w:spacing w:line="525" w:lineRule="atLeast"/>
              <w:jc w:val="center"/>
              <w:rPr>
                <w:rFonts w:hint="eastAsia" w:ascii="仿宋" w:hAnsi="仿宋" w:eastAsia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61A0ECD">
            <w:pPr>
              <w:widowControl/>
              <w:spacing w:line="525" w:lineRule="atLeast"/>
              <w:jc w:val="center"/>
              <w:rPr>
                <w:rFonts w:hint="eastAsia" w:ascii="仿宋" w:hAnsi="仿宋" w:eastAsia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85A0B92">
            <w:pPr>
              <w:widowControl/>
              <w:spacing w:line="525" w:lineRule="atLeast"/>
              <w:jc w:val="center"/>
              <w:rPr>
                <w:rFonts w:hint="eastAsia" w:ascii="仿宋" w:hAnsi="仿宋" w:eastAsia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DEBDB80">
            <w:pPr>
              <w:widowControl/>
              <w:spacing w:line="525" w:lineRule="atLeast"/>
              <w:jc w:val="center"/>
              <w:rPr>
                <w:rFonts w:hint="eastAsia" w:ascii="仿宋" w:hAnsi="仿宋" w:eastAsia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DFA8B3E">
            <w:pPr>
              <w:widowControl/>
              <w:spacing w:line="525" w:lineRule="atLeast"/>
              <w:jc w:val="center"/>
              <w:rPr>
                <w:rFonts w:hint="eastAsia" w:ascii="仿宋" w:hAnsi="仿宋" w:eastAsia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8D289E3">
            <w:pPr>
              <w:widowControl/>
              <w:spacing w:line="525" w:lineRule="atLeast"/>
              <w:jc w:val="center"/>
              <w:rPr>
                <w:rFonts w:hint="eastAsia" w:ascii="仿宋" w:hAnsi="仿宋" w:eastAsia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3D8888C">
            <w:pPr>
              <w:widowControl/>
              <w:spacing w:line="525" w:lineRule="atLeast"/>
              <w:jc w:val="center"/>
              <w:rPr>
                <w:rFonts w:hint="eastAsia" w:ascii="仿宋" w:hAnsi="仿宋" w:eastAsia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BDA962D">
            <w:pPr>
              <w:widowControl/>
              <w:spacing w:line="525" w:lineRule="atLeast"/>
              <w:jc w:val="center"/>
              <w:rPr>
                <w:rFonts w:hint="eastAsia" w:ascii="仿宋" w:hAnsi="仿宋" w:eastAsia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ADD301F">
            <w:pPr>
              <w:widowControl/>
              <w:spacing w:line="525" w:lineRule="atLeast"/>
              <w:jc w:val="center"/>
              <w:rPr>
                <w:rFonts w:hint="eastAsia" w:ascii="仿宋" w:hAnsi="仿宋" w:eastAsia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BA0D660">
            <w:pPr>
              <w:widowControl/>
              <w:spacing w:line="525" w:lineRule="atLeast"/>
              <w:jc w:val="center"/>
              <w:rPr>
                <w:rFonts w:hint="eastAsia" w:ascii="仿宋" w:hAnsi="仿宋" w:eastAsia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6CA46621">
      <w:pPr>
        <w:widowControl/>
        <w:shd w:val="clear" w:color="auto" w:fill="FFFFFF"/>
        <w:spacing w:line="525" w:lineRule="atLeast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说明：</w:t>
      </w:r>
    </w:p>
    <w:p w14:paraId="6F895334">
      <w:pPr>
        <w:widowControl/>
        <w:shd w:val="clear" w:color="auto" w:fill="FFFFFF"/>
        <w:spacing w:line="525" w:lineRule="atLeast"/>
        <w:ind w:firstLine="480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1.“行政强制措施实施数量”的统计范围为统计年度1月1日至12月31日期间作出“查封场所、设施或者财物”、“扣押财务”、“冻结存款、汇款”或者“其他行政强制措施”决定的数量。</w:t>
      </w:r>
    </w:p>
    <w:p w14:paraId="6AEA03F3">
      <w:pPr>
        <w:widowControl/>
        <w:shd w:val="clear" w:color="auto" w:fill="FFFFFF"/>
        <w:spacing w:line="525" w:lineRule="atLeast"/>
        <w:ind w:firstLine="480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2.“行政强制执行实施数量” 的统计范围为统计年度1月1日至12月31日期间“加处罚款或者滞纳金”、“划拨存款、汇款”、“拍卖或者依法处理查封、扣押的场所、设施或者财物”、“排除妨碍、恢复原状”、“代履行”和“其他强制执行”等执行完毕或者终结执行的数量。</w:t>
      </w:r>
    </w:p>
    <w:p w14:paraId="10089BE1">
      <w:pPr>
        <w:widowControl/>
        <w:shd w:val="clear" w:color="auto" w:fill="FFFFFF"/>
        <w:spacing w:line="525" w:lineRule="atLeast"/>
        <w:ind w:firstLine="480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3.“申请法院强制执行”数量的统计范围为统计年度1月1日至12月31日期间向法院申请强制执行的数量，时间以申请日期为准。</w:t>
      </w:r>
    </w:p>
    <w:p w14:paraId="3E87528B">
      <w:pPr>
        <w:widowControl/>
        <w:shd w:val="clear" w:color="auto" w:fill="FFFFFF"/>
        <w:spacing w:line="525" w:lineRule="atLeast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 xml:space="preserve"> </w:t>
      </w:r>
    </w:p>
    <w:p w14:paraId="4E2C0EC5">
      <w:pPr>
        <w:widowControl/>
        <w:shd w:val="clear" w:color="auto" w:fill="FFFFFF"/>
        <w:spacing w:line="525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ascii="微软雅黑" w:hAnsi="微软雅黑" w:eastAsia="微软雅黑" w:cs="宋体"/>
          <w:color w:val="333333"/>
          <w:kern w:val="0"/>
        </w:rPr>
        <w:t xml:space="preserve"> </w:t>
      </w:r>
    </w:p>
    <w:p w14:paraId="13C2B604">
      <w:pPr>
        <w:widowControl/>
        <w:shd w:val="clear" w:color="auto" w:fill="FFFFFF"/>
        <w:spacing w:line="525" w:lineRule="atLeast"/>
        <w:jc w:val="left"/>
        <w:rPr>
          <w:rFonts w:hint="eastAsia" w:ascii="仿宋_GB2312" w:hAnsi="微软雅黑" w:cs="宋体"/>
          <w:color w:val="333333"/>
          <w:kern w:val="0"/>
          <w:sz w:val="21"/>
          <w:szCs w:val="21"/>
        </w:rPr>
      </w:pPr>
      <w:r>
        <w:rPr>
          <w:rFonts w:ascii="仿宋_GB2312" w:hAnsi="微软雅黑" w:cs="宋体"/>
          <w:color w:val="333333"/>
          <w:kern w:val="0"/>
          <w:sz w:val="21"/>
          <w:szCs w:val="21"/>
        </w:rPr>
        <w:t xml:space="preserve"> </w:t>
      </w:r>
    </w:p>
    <w:p w14:paraId="3D2468EE">
      <w:pPr>
        <w:widowControl/>
        <w:shd w:val="clear" w:color="auto" w:fill="FFFFFF"/>
        <w:spacing w:line="525" w:lineRule="atLeast"/>
        <w:jc w:val="left"/>
        <w:rPr>
          <w:rFonts w:ascii="仿宋_GB2312" w:hAnsi="微软雅黑" w:cs="宋体"/>
          <w:color w:val="333333"/>
          <w:kern w:val="0"/>
          <w:sz w:val="21"/>
          <w:szCs w:val="21"/>
        </w:rPr>
      </w:pPr>
      <w:r>
        <w:rPr>
          <w:rFonts w:ascii="仿宋_GB2312" w:hAnsi="微软雅黑" w:cs="宋体"/>
          <w:color w:val="333333"/>
          <w:kern w:val="0"/>
          <w:sz w:val="21"/>
          <w:szCs w:val="21"/>
        </w:rPr>
        <w:t xml:space="preserve"> </w:t>
      </w:r>
    </w:p>
    <w:p w14:paraId="437E68E0">
      <w:pPr>
        <w:widowControl/>
        <w:shd w:val="clear" w:color="auto" w:fill="FFFFFF"/>
        <w:spacing w:line="525" w:lineRule="atLeast"/>
        <w:jc w:val="left"/>
        <w:rPr>
          <w:rFonts w:ascii="仿宋_GB2312" w:hAnsi="微软雅黑" w:cs="宋体"/>
          <w:color w:val="333333"/>
          <w:kern w:val="0"/>
          <w:sz w:val="21"/>
          <w:szCs w:val="21"/>
        </w:rPr>
      </w:pPr>
      <w:r>
        <w:rPr>
          <w:rFonts w:ascii="仿宋_GB2312" w:hAnsi="微软雅黑" w:cs="宋体"/>
          <w:color w:val="333333"/>
          <w:kern w:val="0"/>
          <w:sz w:val="21"/>
          <w:szCs w:val="21"/>
        </w:rPr>
        <w:t xml:space="preserve"> </w:t>
      </w:r>
    </w:p>
    <w:p w14:paraId="3481758B">
      <w:pPr>
        <w:widowControl/>
        <w:shd w:val="clear" w:color="auto" w:fill="FFFFFF"/>
        <w:spacing w:line="525" w:lineRule="atLeast"/>
        <w:jc w:val="left"/>
        <w:rPr>
          <w:rFonts w:ascii="仿宋_GB2312" w:hAnsi="微软雅黑" w:cs="宋体"/>
          <w:color w:val="333333"/>
          <w:kern w:val="0"/>
          <w:sz w:val="21"/>
          <w:szCs w:val="21"/>
        </w:rPr>
      </w:pPr>
      <w:r>
        <w:rPr>
          <w:rFonts w:ascii="仿宋_GB2312" w:hAnsi="微软雅黑" w:cs="宋体"/>
          <w:color w:val="333333"/>
          <w:kern w:val="0"/>
          <w:sz w:val="21"/>
          <w:szCs w:val="21"/>
        </w:rPr>
        <w:t xml:space="preserve"> </w:t>
      </w:r>
    </w:p>
    <w:p w14:paraId="7B828271">
      <w:pPr>
        <w:widowControl/>
        <w:shd w:val="clear" w:color="auto" w:fill="FFFFFF"/>
        <w:spacing w:line="525" w:lineRule="atLeast"/>
        <w:jc w:val="left"/>
        <w:rPr>
          <w:rFonts w:ascii="仿宋_GB2312" w:hAnsi="微软雅黑" w:cs="宋体"/>
          <w:color w:val="333333"/>
          <w:kern w:val="0"/>
          <w:sz w:val="21"/>
          <w:szCs w:val="21"/>
        </w:rPr>
      </w:pPr>
      <w:r>
        <w:rPr>
          <w:rFonts w:ascii="仿宋_GB2312" w:hAnsi="微软雅黑" w:cs="宋体"/>
          <w:color w:val="333333"/>
          <w:kern w:val="0"/>
          <w:sz w:val="21"/>
          <w:szCs w:val="21"/>
        </w:rPr>
        <w:t xml:space="preserve"> </w:t>
      </w:r>
    </w:p>
    <w:p w14:paraId="7F8819F4">
      <w:pPr>
        <w:widowControl/>
        <w:shd w:val="clear" w:color="auto" w:fill="FFFFFF"/>
        <w:spacing w:line="525" w:lineRule="atLeast"/>
        <w:jc w:val="left"/>
        <w:rPr>
          <w:rFonts w:ascii="仿宋_GB2312" w:hAnsi="微软雅黑" w:cs="宋体"/>
          <w:color w:val="333333"/>
          <w:kern w:val="0"/>
          <w:sz w:val="21"/>
          <w:szCs w:val="21"/>
        </w:rPr>
      </w:pPr>
      <w:r>
        <w:rPr>
          <w:rFonts w:ascii="仿宋_GB2312" w:hAnsi="微软雅黑" w:cs="宋体"/>
          <w:color w:val="333333"/>
          <w:kern w:val="0"/>
          <w:sz w:val="21"/>
          <w:szCs w:val="21"/>
        </w:rPr>
        <w:t xml:space="preserve"> </w:t>
      </w:r>
    </w:p>
    <w:p w14:paraId="57925A58">
      <w:pPr>
        <w:widowControl/>
        <w:shd w:val="clear" w:color="auto" w:fill="FFFFFF"/>
        <w:spacing w:line="525" w:lineRule="atLeast"/>
        <w:jc w:val="left"/>
        <w:rPr>
          <w:rFonts w:ascii="仿宋_GB2312" w:hAnsi="微软雅黑" w:cs="宋体"/>
          <w:color w:val="333333"/>
          <w:kern w:val="0"/>
          <w:sz w:val="21"/>
          <w:szCs w:val="21"/>
        </w:rPr>
      </w:pPr>
      <w:r>
        <w:rPr>
          <w:rFonts w:ascii="仿宋_GB2312" w:hAnsi="微软雅黑" w:cs="宋体"/>
          <w:color w:val="333333"/>
          <w:kern w:val="0"/>
          <w:sz w:val="21"/>
          <w:szCs w:val="21"/>
        </w:rPr>
        <w:t xml:space="preserve"> </w:t>
      </w:r>
    </w:p>
    <w:p w14:paraId="67D54956">
      <w:pPr>
        <w:widowControl/>
        <w:shd w:val="clear" w:color="auto" w:fill="FFFFFF"/>
        <w:spacing w:line="525" w:lineRule="atLeast"/>
        <w:jc w:val="left"/>
        <w:rPr>
          <w:rFonts w:ascii="仿宋_GB2312" w:hAnsi="微软雅黑" w:cs="宋体"/>
          <w:color w:val="333333"/>
          <w:kern w:val="0"/>
          <w:sz w:val="21"/>
          <w:szCs w:val="21"/>
        </w:rPr>
      </w:pPr>
      <w:r>
        <w:rPr>
          <w:rFonts w:ascii="仿宋_GB2312" w:hAnsi="微软雅黑" w:cs="宋体"/>
          <w:color w:val="333333"/>
          <w:kern w:val="0"/>
          <w:sz w:val="21"/>
          <w:szCs w:val="21"/>
        </w:rPr>
        <w:t xml:space="preserve"> </w:t>
      </w:r>
    </w:p>
    <w:p w14:paraId="6CDB2EEC">
      <w:pPr>
        <w:widowControl/>
        <w:shd w:val="clear" w:color="auto" w:fill="FFFFFF"/>
        <w:spacing w:line="525" w:lineRule="atLeast"/>
        <w:jc w:val="left"/>
        <w:rPr>
          <w:rFonts w:ascii="仿宋_GB2312" w:hAnsi="微软雅黑" w:cs="宋体"/>
          <w:color w:val="333333"/>
          <w:kern w:val="0"/>
          <w:sz w:val="21"/>
          <w:szCs w:val="21"/>
        </w:rPr>
      </w:pPr>
      <w:r>
        <w:rPr>
          <w:rFonts w:ascii="仿宋_GB2312" w:hAnsi="微软雅黑" w:cs="宋体"/>
          <w:color w:val="333333"/>
          <w:kern w:val="0"/>
          <w:sz w:val="21"/>
          <w:szCs w:val="21"/>
        </w:rPr>
        <w:t xml:space="preserve"> </w:t>
      </w:r>
    </w:p>
    <w:p w14:paraId="5658262C">
      <w:pPr>
        <w:widowControl/>
        <w:shd w:val="clear" w:color="auto" w:fill="FFFFFF"/>
        <w:spacing w:line="525" w:lineRule="atLeast"/>
        <w:jc w:val="left"/>
        <w:rPr>
          <w:rFonts w:ascii="仿宋_GB2312" w:hAnsi="微软雅黑" w:cs="宋体"/>
          <w:color w:val="333333"/>
          <w:kern w:val="0"/>
          <w:sz w:val="21"/>
          <w:szCs w:val="21"/>
        </w:rPr>
      </w:pPr>
      <w:r>
        <w:rPr>
          <w:rFonts w:ascii="仿宋_GB2312" w:hAnsi="微软雅黑" w:cs="宋体"/>
          <w:color w:val="333333"/>
          <w:kern w:val="0"/>
          <w:sz w:val="21"/>
          <w:szCs w:val="21"/>
        </w:rPr>
        <w:t xml:space="preserve"> </w:t>
      </w:r>
    </w:p>
    <w:p w14:paraId="24FDB0A6">
      <w:pPr>
        <w:widowControl/>
        <w:shd w:val="clear" w:color="auto" w:fill="FFFFFF"/>
        <w:spacing w:line="525" w:lineRule="atLeast"/>
        <w:jc w:val="left"/>
        <w:rPr>
          <w:rFonts w:ascii="仿宋_GB2312" w:hAnsi="微软雅黑" w:cs="宋体"/>
          <w:color w:val="333333"/>
          <w:kern w:val="0"/>
          <w:sz w:val="21"/>
          <w:szCs w:val="21"/>
        </w:rPr>
      </w:pPr>
      <w:r>
        <w:rPr>
          <w:rFonts w:ascii="仿宋_GB2312" w:hAnsi="微软雅黑" w:cs="宋体"/>
          <w:color w:val="333333"/>
          <w:kern w:val="0"/>
          <w:sz w:val="21"/>
          <w:szCs w:val="21"/>
        </w:rPr>
        <w:t xml:space="preserve"> </w:t>
      </w:r>
    </w:p>
    <w:p w14:paraId="3FB97696">
      <w:pPr>
        <w:widowControl/>
        <w:shd w:val="clear" w:color="auto" w:fill="FFFFFF"/>
        <w:spacing w:line="525" w:lineRule="atLeast"/>
        <w:jc w:val="left"/>
        <w:rPr>
          <w:rFonts w:ascii="仿宋_GB2312" w:hAnsi="微软雅黑" w:cs="宋体"/>
          <w:color w:val="333333"/>
          <w:kern w:val="0"/>
          <w:sz w:val="21"/>
          <w:szCs w:val="21"/>
        </w:rPr>
      </w:pPr>
      <w:r>
        <w:rPr>
          <w:rFonts w:ascii="仿宋_GB2312" w:hAnsi="微软雅黑" w:cs="宋体"/>
          <w:color w:val="333333"/>
          <w:kern w:val="0"/>
          <w:sz w:val="21"/>
          <w:szCs w:val="21"/>
        </w:rPr>
        <w:t xml:space="preserve"> </w:t>
      </w:r>
    </w:p>
    <w:p w14:paraId="5468DCF0">
      <w:pPr>
        <w:widowControl/>
        <w:shd w:val="clear" w:color="auto" w:fill="FFFFFF"/>
        <w:spacing w:line="525" w:lineRule="atLeast"/>
        <w:jc w:val="left"/>
        <w:rPr>
          <w:rFonts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ascii="仿宋_GB2312" w:hAnsi="仿宋_GB2312" w:cs="宋体"/>
          <w:color w:val="333333"/>
          <w:kern w:val="0"/>
          <w:sz w:val="21"/>
          <w:szCs w:val="21"/>
        </w:rPr>
        <w:t>表四</w:t>
      </w:r>
    </w:p>
    <w:p w14:paraId="1396F58C">
      <w:pPr>
        <w:widowControl/>
        <w:shd w:val="clear" w:color="auto" w:fill="FFFFFF"/>
        <w:spacing w:line="525" w:lineRule="atLeast"/>
        <w:jc w:val="center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黑体" w:hAnsi="黑体" w:eastAsia="黑体" w:cs="宋体"/>
          <w:color w:val="333333"/>
          <w:kern w:val="0"/>
          <w:sz w:val="36"/>
          <w:szCs w:val="36"/>
          <w:lang w:eastAsia="zh-CN"/>
        </w:rPr>
        <w:t>抚松县露水河镇综合行政执法</w:t>
      </w:r>
      <w:r>
        <w:rPr>
          <w:rFonts w:hint="eastAsia" w:ascii="黑体" w:hAnsi="黑体" w:eastAsia="黑体" w:cs="宋体"/>
          <w:color w:val="333333"/>
          <w:kern w:val="0"/>
          <w:sz w:val="36"/>
          <w:szCs w:val="36"/>
          <w:lang w:val="en-US" w:eastAsia="zh-CN"/>
        </w:rPr>
        <w:t>2025</w:t>
      </w:r>
      <w:r>
        <w:rPr>
          <w:rFonts w:hint="eastAsia" w:ascii="黑体" w:hAnsi="黑体" w:eastAsia="黑体" w:cs="宋体"/>
          <w:color w:val="333333"/>
          <w:kern w:val="0"/>
          <w:sz w:val="36"/>
          <w:szCs w:val="36"/>
        </w:rPr>
        <w:t>年度其他行政执法行为实施情况统计表</w:t>
      </w:r>
    </w:p>
    <w:p w14:paraId="6B54AC41">
      <w:pPr>
        <w:widowControl/>
        <w:shd w:val="clear" w:color="auto" w:fill="FFFFFF"/>
        <w:spacing w:line="525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ascii="微软雅黑" w:hAnsi="微软雅黑" w:eastAsia="微软雅黑" w:cs="宋体"/>
          <w:color w:val="333333"/>
          <w:kern w:val="0"/>
        </w:rPr>
        <w:t xml:space="preserve">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773"/>
        <w:gridCol w:w="774"/>
        <w:gridCol w:w="777"/>
        <w:gridCol w:w="775"/>
        <w:gridCol w:w="775"/>
        <w:gridCol w:w="775"/>
        <w:gridCol w:w="775"/>
        <w:gridCol w:w="775"/>
        <w:gridCol w:w="775"/>
        <w:gridCol w:w="775"/>
      </w:tblGrid>
      <w:tr w14:paraId="2EFE9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7F765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行政征收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DC41FBA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行政检查</w:t>
            </w: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B9018D2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行政裁决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1EB2707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行政给付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7B3EEE5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行政确认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1B31F5B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行政奖励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8B979FB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其他行政执法行为</w:t>
            </w:r>
          </w:p>
        </w:tc>
      </w:tr>
      <w:tr w14:paraId="660F1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C2FCB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次数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CCD9ECF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征收总金额（万元）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30E258A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次数</w:t>
            </w:r>
          </w:p>
        </w:tc>
        <w:tc>
          <w:tcPr>
            <w:tcW w:w="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BE615FF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次数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2BD4F6E">
            <w:pPr>
              <w:pStyle w:val="4"/>
              <w:shd w:val="clear" w:color="auto" w:fill="FFFFFF"/>
              <w:spacing w:before="0" w:beforeAutospacing="0" w:after="0" w:afterAutospacing="0" w:line="525" w:lineRule="atLeast"/>
              <w:jc w:val="center"/>
              <w:rPr>
                <w:rFonts w:ascii="仿宋" w:hAnsi="仿宋" w:eastAsia="仿宋" w:cs="Times New Roman"/>
                <w:color w:val="333333"/>
              </w:rPr>
            </w:pPr>
            <w:r>
              <w:rPr>
                <w:rStyle w:val="8"/>
                <w:rFonts w:hint="eastAsia" w:ascii="仿宋" w:hAnsi="仿宋" w:eastAsia="仿宋"/>
                <w:b w:val="0"/>
                <w:bCs w:val="0"/>
                <w:color w:val="333333"/>
              </w:rPr>
              <w:t>涉及金额</w:t>
            </w:r>
          </w:p>
          <w:p w14:paraId="28C2E286">
            <w:pPr>
              <w:pStyle w:val="4"/>
              <w:shd w:val="clear" w:color="auto" w:fill="FFFFFF"/>
              <w:spacing w:before="0" w:beforeAutospacing="0" w:after="0" w:afterAutospacing="0" w:line="525" w:lineRule="atLeast"/>
              <w:jc w:val="center"/>
              <w:rPr>
                <w:rFonts w:hint="eastAsia" w:ascii="仿宋" w:hAnsi="仿宋" w:eastAsia="仿宋" w:cs="Times New Roman"/>
                <w:color w:val="333333"/>
              </w:rPr>
            </w:pPr>
            <w:r>
              <w:rPr>
                <w:rStyle w:val="8"/>
                <w:rFonts w:hint="eastAsia" w:ascii="仿宋" w:hAnsi="仿宋" w:eastAsia="仿宋"/>
                <w:b w:val="0"/>
                <w:bCs w:val="0"/>
                <w:color w:val="333333"/>
              </w:rPr>
              <w:t>（万元）</w:t>
            </w:r>
          </w:p>
          <w:p w14:paraId="514FCF76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7C2A6CB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次数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CA5F50B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给付总金额（万元）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8EAF6E4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次数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6F6C955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次数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BEFCC6B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奖励总金额（万元）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B31E255"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宗数</w:t>
            </w:r>
          </w:p>
        </w:tc>
      </w:tr>
      <w:tr w14:paraId="1A1D5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BA8F9">
            <w:pPr>
              <w:widowControl/>
              <w:spacing w:line="525" w:lineRule="atLeast"/>
              <w:jc w:val="center"/>
              <w:rPr>
                <w:rFonts w:hint="eastAsia" w:ascii="仿宋" w:hAnsi="仿宋" w:eastAsia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9F2B12D">
            <w:pPr>
              <w:widowControl/>
              <w:spacing w:line="525" w:lineRule="atLeast"/>
              <w:jc w:val="center"/>
              <w:rPr>
                <w:rFonts w:hint="eastAsia" w:ascii="仿宋" w:hAnsi="仿宋" w:eastAsia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A967D26">
            <w:pPr>
              <w:widowControl/>
              <w:spacing w:line="525" w:lineRule="atLeast"/>
              <w:jc w:val="center"/>
              <w:rPr>
                <w:rFonts w:hint="default" w:ascii="仿宋" w:hAnsi="仿宋" w:eastAsia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color w:val="333333"/>
                <w:kern w:val="0"/>
                <w:sz w:val="24"/>
                <w:szCs w:val="24"/>
                <w:lang w:val="en-US" w:eastAsia="zh-CN"/>
              </w:rPr>
              <w:t>330</w:t>
            </w:r>
          </w:p>
        </w:tc>
        <w:tc>
          <w:tcPr>
            <w:tcW w:w="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B002C5D">
            <w:pPr>
              <w:widowControl/>
              <w:spacing w:line="525" w:lineRule="atLeast"/>
              <w:jc w:val="center"/>
              <w:rPr>
                <w:rFonts w:hint="eastAsia" w:ascii="仿宋" w:hAnsi="仿宋" w:eastAsia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E778902">
            <w:pPr>
              <w:widowControl/>
              <w:spacing w:line="525" w:lineRule="atLeast"/>
              <w:jc w:val="center"/>
              <w:rPr>
                <w:rFonts w:hint="eastAsia" w:ascii="仿宋" w:hAnsi="仿宋" w:eastAsia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2A701F5">
            <w:pPr>
              <w:widowControl/>
              <w:spacing w:line="525" w:lineRule="atLeast"/>
              <w:jc w:val="center"/>
              <w:rPr>
                <w:rFonts w:hint="eastAsia" w:ascii="仿宋" w:hAnsi="仿宋" w:eastAsia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AE32026">
            <w:pPr>
              <w:widowControl/>
              <w:spacing w:line="525" w:lineRule="atLeast"/>
              <w:jc w:val="center"/>
              <w:rPr>
                <w:rFonts w:hint="eastAsia" w:ascii="仿宋" w:hAnsi="仿宋" w:eastAsia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5D98AAF">
            <w:pPr>
              <w:widowControl/>
              <w:spacing w:line="525" w:lineRule="atLeast"/>
              <w:jc w:val="center"/>
              <w:rPr>
                <w:rFonts w:hint="eastAsia" w:ascii="仿宋" w:hAnsi="仿宋" w:eastAsia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3A08BF1">
            <w:pPr>
              <w:widowControl/>
              <w:spacing w:line="525" w:lineRule="atLeast"/>
              <w:jc w:val="center"/>
              <w:rPr>
                <w:rFonts w:hint="eastAsia" w:ascii="仿宋" w:hAnsi="仿宋" w:eastAsia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18F73FF">
            <w:pPr>
              <w:widowControl/>
              <w:spacing w:line="525" w:lineRule="atLeast"/>
              <w:jc w:val="center"/>
              <w:rPr>
                <w:rFonts w:hint="eastAsia" w:ascii="仿宋" w:hAnsi="仿宋" w:eastAsia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A2FC8F8">
            <w:pPr>
              <w:widowControl/>
              <w:spacing w:line="525" w:lineRule="atLeast"/>
              <w:jc w:val="center"/>
              <w:rPr>
                <w:rFonts w:hint="eastAsia" w:ascii="仿宋" w:hAnsi="仿宋" w:eastAsia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0B75F3AB">
      <w:pPr>
        <w:widowControl/>
        <w:shd w:val="clear" w:color="auto" w:fill="FFFFFF"/>
        <w:spacing w:line="525" w:lineRule="atLeast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说明：</w:t>
      </w:r>
    </w:p>
    <w:p w14:paraId="7A26FB72">
      <w:pPr>
        <w:widowControl/>
        <w:shd w:val="clear" w:color="auto" w:fill="FFFFFF"/>
        <w:spacing w:line="525" w:lineRule="atLeast"/>
        <w:ind w:firstLine="480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1.“行政征收次数”的统计范围为统计年度1月1日至12月31日期间征收完毕的数量。</w:t>
      </w:r>
    </w:p>
    <w:p w14:paraId="61CD7F18">
      <w:pPr>
        <w:widowControl/>
        <w:shd w:val="clear" w:color="auto" w:fill="FFFFFF"/>
        <w:spacing w:line="525" w:lineRule="atLeast"/>
        <w:ind w:firstLine="480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2.“行政检查次数”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 w14:paraId="45289E05">
      <w:pPr>
        <w:widowControl/>
        <w:shd w:val="clear" w:color="auto" w:fill="FFFFFF"/>
        <w:spacing w:line="525" w:lineRule="atLeast"/>
        <w:ind w:firstLine="480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3.“行政裁决次数”、“行政确认次数”、“行政奖励次数”的统计范围为统计年度1月1日至12月31日期间作出行政裁决、行政确认、行政奖励决定的数量。</w:t>
      </w:r>
    </w:p>
    <w:p w14:paraId="200CE1A1">
      <w:pPr>
        <w:widowControl/>
        <w:shd w:val="clear" w:color="auto" w:fill="FFFFFF"/>
        <w:spacing w:line="525" w:lineRule="atLeast"/>
        <w:ind w:firstLine="480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4.“行政给付次数”的统计范围为统计年度1月1日至12月31日期间给付完毕的数量。</w:t>
      </w:r>
    </w:p>
    <w:p w14:paraId="59849CD4">
      <w:pPr>
        <w:widowControl/>
        <w:shd w:val="clear" w:color="auto" w:fill="FFFFFF"/>
        <w:spacing w:line="525" w:lineRule="atLeast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仿宋" w:hAnsi="仿宋"/>
          <w:color w:val="333333"/>
          <w:kern w:val="0"/>
        </w:rPr>
        <w:t>5.“其他行政执法行为”的统计范围为统计年度1月1日至12月31日期间完成的宗数。</w:t>
      </w:r>
    </w:p>
    <w:p w14:paraId="08AA238B">
      <w:pPr>
        <w:widowControl/>
        <w:shd w:val="clear" w:color="auto" w:fill="FFFFFF"/>
        <w:spacing w:line="525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ascii="微软雅黑" w:hAnsi="微软雅黑" w:eastAsia="微软雅黑" w:cs="宋体"/>
          <w:color w:val="333333"/>
          <w:kern w:val="0"/>
        </w:rPr>
        <w:t xml:space="preserve"> </w:t>
      </w:r>
    </w:p>
    <w:p w14:paraId="61914BAF">
      <w:pPr>
        <w:widowControl/>
        <w:shd w:val="clear" w:color="auto" w:fill="FFFFFF"/>
        <w:spacing w:line="525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ascii="微软雅黑" w:hAnsi="微软雅黑" w:eastAsia="微软雅黑" w:cs="宋体"/>
          <w:color w:val="333333"/>
          <w:kern w:val="0"/>
        </w:rPr>
        <w:t xml:space="preserve"> </w:t>
      </w:r>
    </w:p>
    <w:p w14:paraId="754C7E9A">
      <w:pPr>
        <w:widowControl/>
        <w:shd w:val="clear" w:color="auto" w:fill="FFFFFF"/>
        <w:spacing w:line="525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7"/>
          <w:szCs w:val="27"/>
        </w:rPr>
      </w:pPr>
    </w:p>
    <w:p w14:paraId="2EDD6C67">
      <w:pPr>
        <w:widowControl/>
        <w:shd w:val="clear" w:color="auto" w:fill="FFFFFF"/>
        <w:spacing w:line="555" w:lineRule="atLeast"/>
        <w:jc w:val="center"/>
        <w:rPr>
          <w:rFonts w:hint="eastAsia" w:ascii="方正小标宋简体" w:hAnsi="微软雅黑" w:eastAsia="方正小标宋简体" w:cs="宋体"/>
          <w:color w:val="333333"/>
          <w:kern w:val="0"/>
          <w:sz w:val="21"/>
          <w:szCs w:val="21"/>
        </w:rPr>
      </w:pPr>
      <w:r>
        <w:rPr>
          <w:rFonts w:hint="eastAsia" w:ascii="方正小标宋简体" w:hAnsi="微软雅黑" w:eastAsia="方正小标宋简体" w:cs="宋体"/>
          <w:color w:val="333333"/>
          <w:kern w:val="0"/>
          <w:sz w:val="21"/>
          <w:szCs w:val="21"/>
        </w:rPr>
        <w:t xml:space="preserve"> </w:t>
      </w:r>
    </w:p>
    <w:p w14:paraId="1E39530D">
      <w:pPr>
        <w:widowControl/>
        <w:shd w:val="clear" w:color="auto" w:fill="FFFFFF"/>
        <w:spacing w:line="555" w:lineRule="atLeast"/>
        <w:jc w:val="center"/>
        <w:rPr>
          <w:rFonts w:hint="eastAsia" w:ascii="方正小标宋简体" w:hAnsi="微软雅黑" w:eastAsia="方正小标宋简体" w:cs="宋体"/>
          <w:color w:val="333333"/>
          <w:kern w:val="0"/>
          <w:sz w:val="21"/>
          <w:szCs w:val="21"/>
        </w:rPr>
      </w:pPr>
      <w:r>
        <w:rPr>
          <w:rFonts w:hint="eastAsia" w:ascii="方正小标宋简体" w:hAnsi="微软雅黑" w:eastAsia="方正小标宋简体" w:cs="宋体"/>
          <w:color w:val="333333"/>
          <w:kern w:val="0"/>
          <w:sz w:val="21"/>
          <w:szCs w:val="21"/>
        </w:rPr>
        <w:t xml:space="preserve"> </w:t>
      </w:r>
    </w:p>
    <w:p w14:paraId="450E94A6">
      <w:pPr>
        <w:widowControl/>
        <w:shd w:val="clear" w:color="auto" w:fill="FFFFFF"/>
        <w:spacing w:line="555" w:lineRule="atLeast"/>
        <w:jc w:val="center"/>
        <w:rPr>
          <w:rFonts w:hint="eastAsia" w:ascii="方正小标宋简体" w:hAnsi="微软雅黑" w:eastAsia="方正小标宋简体" w:cs="宋体"/>
          <w:color w:val="333333"/>
          <w:kern w:val="0"/>
          <w:sz w:val="21"/>
          <w:szCs w:val="21"/>
        </w:rPr>
      </w:pPr>
      <w:r>
        <w:rPr>
          <w:rFonts w:hint="eastAsia" w:ascii="方正小标宋简体" w:hAnsi="微软雅黑" w:eastAsia="方正小标宋简体" w:cs="宋体"/>
          <w:color w:val="333333"/>
          <w:kern w:val="0"/>
          <w:sz w:val="21"/>
          <w:szCs w:val="21"/>
        </w:rPr>
        <w:t xml:space="preserve"> </w:t>
      </w:r>
    </w:p>
    <w:p w14:paraId="28490CD1">
      <w:pPr>
        <w:widowControl/>
        <w:shd w:val="clear" w:color="auto" w:fill="FFFFFF"/>
        <w:spacing w:line="555" w:lineRule="atLeast"/>
        <w:jc w:val="center"/>
        <w:rPr>
          <w:rFonts w:hint="eastAsia" w:ascii="方正小标宋简体" w:hAnsi="微软雅黑" w:eastAsia="方正小标宋简体" w:cs="宋体"/>
          <w:color w:val="333333"/>
          <w:kern w:val="0"/>
          <w:sz w:val="21"/>
          <w:szCs w:val="21"/>
        </w:rPr>
      </w:pPr>
      <w:r>
        <w:rPr>
          <w:rFonts w:hint="eastAsia" w:ascii="方正小标宋简体" w:hAnsi="微软雅黑" w:eastAsia="方正小标宋简体" w:cs="宋体"/>
          <w:color w:val="333333"/>
          <w:kern w:val="0"/>
          <w:sz w:val="21"/>
          <w:szCs w:val="21"/>
        </w:rPr>
        <w:t xml:space="preserve"> </w:t>
      </w:r>
    </w:p>
    <w:p w14:paraId="6F35E0D3">
      <w:pPr>
        <w:widowControl/>
        <w:shd w:val="clear" w:color="auto" w:fill="FFFFFF"/>
        <w:spacing w:line="555" w:lineRule="atLeast"/>
        <w:jc w:val="center"/>
        <w:rPr>
          <w:rFonts w:hint="eastAsia" w:ascii="方正小标宋简体" w:hAnsi="微软雅黑" w:eastAsia="方正小标宋简体" w:cs="宋体"/>
          <w:color w:val="333333"/>
          <w:kern w:val="0"/>
          <w:sz w:val="21"/>
          <w:szCs w:val="21"/>
        </w:rPr>
      </w:pPr>
      <w:r>
        <w:rPr>
          <w:rFonts w:hint="eastAsia" w:ascii="方正小标宋简体" w:hAnsi="微软雅黑" w:eastAsia="方正小标宋简体" w:cs="宋体"/>
          <w:color w:val="333333"/>
          <w:kern w:val="0"/>
          <w:sz w:val="21"/>
          <w:szCs w:val="21"/>
        </w:rPr>
        <w:t xml:space="preserve"> </w:t>
      </w:r>
    </w:p>
    <w:p w14:paraId="68FC50EC">
      <w:pPr>
        <w:widowControl/>
        <w:shd w:val="clear" w:color="auto" w:fill="FFFFFF"/>
        <w:spacing w:line="555" w:lineRule="atLeast"/>
        <w:jc w:val="center"/>
        <w:rPr>
          <w:rFonts w:hint="eastAsia" w:ascii="方正小标宋简体" w:hAnsi="微软雅黑" w:eastAsia="方正小标宋简体" w:cs="宋体"/>
          <w:color w:val="333333"/>
          <w:kern w:val="0"/>
          <w:sz w:val="21"/>
          <w:szCs w:val="21"/>
        </w:rPr>
      </w:pPr>
      <w:r>
        <w:rPr>
          <w:rFonts w:hint="eastAsia" w:ascii="方正小标宋简体" w:hAnsi="微软雅黑" w:eastAsia="方正小标宋简体" w:cs="宋体"/>
          <w:color w:val="333333"/>
          <w:kern w:val="0"/>
          <w:sz w:val="21"/>
          <w:szCs w:val="21"/>
        </w:rPr>
        <w:t xml:space="preserve"> </w:t>
      </w:r>
    </w:p>
    <w:p w14:paraId="2FAF199F">
      <w:pPr>
        <w:widowControl/>
        <w:shd w:val="clear" w:color="auto" w:fill="FFFFFF"/>
        <w:spacing w:line="555" w:lineRule="atLeast"/>
        <w:jc w:val="center"/>
        <w:rPr>
          <w:rFonts w:hint="eastAsia" w:ascii="方正小标宋简体" w:hAnsi="微软雅黑" w:eastAsia="方正小标宋简体" w:cs="宋体"/>
          <w:color w:val="333333"/>
          <w:kern w:val="0"/>
          <w:sz w:val="21"/>
          <w:szCs w:val="21"/>
        </w:rPr>
      </w:pPr>
      <w:r>
        <w:rPr>
          <w:rFonts w:hint="eastAsia" w:ascii="方正小标宋简体" w:hAnsi="微软雅黑" w:eastAsia="方正小标宋简体" w:cs="宋体"/>
          <w:color w:val="333333"/>
          <w:kern w:val="0"/>
          <w:sz w:val="21"/>
          <w:szCs w:val="21"/>
        </w:rPr>
        <w:t xml:space="preserve"> </w:t>
      </w:r>
    </w:p>
    <w:p w14:paraId="089505C0">
      <w:pPr>
        <w:widowControl/>
        <w:shd w:val="clear" w:color="auto" w:fill="FFFFFF"/>
        <w:spacing w:line="555" w:lineRule="atLeast"/>
        <w:jc w:val="center"/>
        <w:rPr>
          <w:rFonts w:hint="eastAsia" w:ascii="方正小标宋简体" w:hAnsi="微软雅黑" w:eastAsia="方正小标宋简体" w:cs="宋体"/>
          <w:color w:val="333333"/>
          <w:kern w:val="0"/>
          <w:sz w:val="21"/>
          <w:szCs w:val="21"/>
        </w:rPr>
      </w:pPr>
      <w:r>
        <w:rPr>
          <w:rFonts w:hint="eastAsia" w:ascii="方正小标宋简体" w:hAnsi="微软雅黑" w:eastAsia="方正小标宋简体" w:cs="宋体"/>
          <w:color w:val="333333"/>
          <w:kern w:val="0"/>
          <w:sz w:val="21"/>
          <w:szCs w:val="21"/>
        </w:rPr>
        <w:t xml:space="preserve"> </w:t>
      </w:r>
    </w:p>
    <w:p w14:paraId="1F9649F1">
      <w:pPr>
        <w:widowControl/>
        <w:shd w:val="clear" w:color="auto" w:fill="FFFFFF"/>
        <w:spacing w:line="555" w:lineRule="atLeast"/>
        <w:jc w:val="center"/>
        <w:rPr>
          <w:rFonts w:hint="eastAsia" w:ascii="方正小标宋简体" w:hAnsi="微软雅黑" w:eastAsia="方正小标宋简体" w:cs="宋体"/>
          <w:color w:val="333333"/>
          <w:kern w:val="0"/>
          <w:sz w:val="21"/>
          <w:szCs w:val="21"/>
        </w:rPr>
      </w:pPr>
      <w:r>
        <w:rPr>
          <w:rFonts w:hint="eastAsia" w:ascii="方正小标宋简体" w:hAnsi="微软雅黑" w:eastAsia="方正小标宋简体" w:cs="宋体"/>
          <w:color w:val="333333"/>
          <w:kern w:val="0"/>
          <w:sz w:val="21"/>
          <w:szCs w:val="21"/>
        </w:rPr>
        <w:t xml:space="preserve"> </w:t>
      </w:r>
    </w:p>
    <w:p w14:paraId="73F0DDB8">
      <w:pPr>
        <w:widowControl/>
        <w:shd w:val="clear" w:color="auto" w:fill="FFFFFF"/>
        <w:spacing w:line="555" w:lineRule="atLeast"/>
        <w:jc w:val="center"/>
        <w:rPr>
          <w:rFonts w:hint="eastAsia" w:ascii="方正小标宋简体" w:hAnsi="微软雅黑" w:eastAsia="方正小标宋简体" w:cs="宋体"/>
          <w:color w:val="333333"/>
          <w:kern w:val="0"/>
          <w:sz w:val="21"/>
          <w:szCs w:val="21"/>
        </w:rPr>
      </w:pPr>
      <w:r>
        <w:rPr>
          <w:rFonts w:hint="eastAsia" w:ascii="方正小标宋简体" w:hAnsi="微软雅黑" w:eastAsia="方正小标宋简体" w:cs="宋体"/>
          <w:color w:val="333333"/>
          <w:kern w:val="0"/>
          <w:sz w:val="21"/>
          <w:szCs w:val="21"/>
        </w:rPr>
        <w:t xml:space="preserve"> </w:t>
      </w:r>
    </w:p>
    <w:p w14:paraId="2CD290F8">
      <w:pPr>
        <w:widowControl/>
        <w:shd w:val="clear" w:color="auto" w:fill="FFFFFF"/>
        <w:spacing w:line="555" w:lineRule="atLeast"/>
        <w:jc w:val="center"/>
        <w:rPr>
          <w:rFonts w:hint="eastAsia" w:ascii="方正小标宋简体" w:hAnsi="微软雅黑" w:eastAsia="方正小标宋简体" w:cs="宋体"/>
          <w:color w:val="333333"/>
          <w:kern w:val="0"/>
          <w:sz w:val="21"/>
          <w:szCs w:val="21"/>
        </w:rPr>
      </w:pPr>
      <w:r>
        <w:rPr>
          <w:rFonts w:hint="eastAsia" w:ascii="方正小标宋简体" w:hAnsi="微软雅黑" w:eastAsia="方正小标宋简体" w:cs="宋体"/>
          <w:color w:val="333333"/>
          <w:kern w:val="0"/>
          <w:sz w:val="21"/>
          <w:szCs w:val="21"/>
        </w:rPr>
        <w:t xml:space="preserve"> </w:t>
      </w:r>
    </w:p>
    <w:p w14:paraId="7DB92E45">
      <w:pPr>
        <w:widowControl/>
        <w:shd w:val="clear" w:color="auto" w:fill="FFFFFF"/>
        <w:spacing w:line="555" w:lineRule="atLeast"/>
        <w:jc w:val="center"/>
        <w:rPr>
          <w:rFonts w:hint="eastAsia" w:ascii="方正小标宋简体" w:hAnsi="微软雅黑" w:eastAsia="方正小标宋简体" w:cs="宋体"/>
          <w:color w:val="333333"/>
          <w:kern w:val="0"/>
          <w:sz w:val="21"/>
          <w:szCs w:val="21"/>
        </w:rPr>
      </w:pPr>
      <w:r>
        <w:rPr>
          <w:rFonts w:hint="eastAsia" w:ascii="方正小标宋简体" w:hAnsi="微软雅黑" w:eastAsia="方正小标宋简体" w:cs="宋体"/>
          <w:color w:val="333333"/>
          <w:kern w:val="0"/>
          <w:sz w:val="21"/>
          <w:szCs w:val="21"/>
        </w:rPr>
        <w:t xml:space="preserve"> </w:t>
      </w:r>
    </w:p>
    <w:p w14:paraId="1FE252BF">
      <w:pPr>
        <w:widowControl/>
        <w:shd w:val="clear" w:color="auto" w:fill="FFFFFF"/>
        <w:spacing w:line="555" w:lineRule="atLeast"/>
        <w:jc w:val="center"/>
        <w:rPr>
          <w:rFonts w:hint="eastAsia" w:ascii="方正小标宋简体" w:hAnsi="微软雅黑" w:eastAsia="方正小标宋简体" w:cs="宋体"/>
          <w:color w:val="333333"/>
          <w:kern w:val="0"/>
          <w:sz w:val="21"/>
          <w:szCs w:val="21"/>
        </w:rPr>
      </w:pPr>
    </w:p>
    <w:p w14:paraId="6CF0B23D">
      <w:pPr>
        <w:widowControl/>
        <w:shd w:val="clear" w:color="auto" w:fill="FFFFFF"/>
        <w:spacing w:line="555" w:lineRule="atLeast"/>
        <w:jc w:val="center"/>
        <w:rPr>
          <w:rFonts w:hint="eastAsia" w:ascii="方正小标宋简体" w:hAnsi="微软雅黑" w:eastAsia="方正小标宋简体" w:cs="宋体"/>
          <w:color w:val="333333"/>
          <w:kern w:val="0"/>
          <w:sz w:val="21"/>
          <w:szCs w:val="21"/>
        </w:rPr>
      </w:pPr>
    </w:p>
    <w:p w14:paraId="598F5B41">
      <w:pPr>
        <w:widowControl/>
        <w:shd w:val="clear" w:color="auto" w:fill="FFFFFF"/>
        <w:spacing w:line="555" w:lineRule="atLeast"/>
        <w:jc w:val="center"/>
        <w:rPr>
          <w:rFonts w:hint="eastAsia" w:ascii="方正小标宋简体" w:hAnsi="微软雅黑" w:eastAsia="方正小标宋简体" w:cs="宋体"/>
          <w:color w:val="333333"/>
          <w:kern w:val="0"/>
          <w:sz w:val="21"/>
          <w:szCs w:val="21"/>
        </w:rPr>
      </w:pPr>
    </w:p>
    <w:p w14:paraId="30A7D5E6">
      <w:pPr>
        <w:widowControl/>
        <w:shd w:val="clear" w:color="auto" w:fill="FFFFFF"/>
        <w:spacing w:line="555" w:lineRule="atLeast"/>
        <w:jc w:val="center"/>
        <w:rPr>
          <w:rFonts w:hint="eastAsia" w:ascii="方正小标宋简体" w:hAnsi="微软雅黑" w:eastAsia="方正小标宋简体" w:cs="宋体"/>
          <w:color w:val="333333"/>
          <w:kern w:val="0"/>
          <w:sz w:val="44"/>
          <w:szCs w:val="44"/>
        </w:rPr>
      </w:pPr>
      <w:r>
        <w:rPr>
          <w:rFonts w:hint="eastAsia" w:ascii="方正小标宋简体" w:hAnsi="微软雅黑" w:eastAsia="方正小标宋简体" w:cs="宋体"/>
          <w:color w:val="333333"/>
          <w:kern w:val="0"/>
          <w:sz w:val="21"/>
          <w:szCs w:val="21"/>
        </w:rPr>
        <w:t>第二部分</w:t>
      </w:r>
      <w:r>
        <w:rPr>
          <w:rFonts w:hint="eastAsia" w:ascii="微软雅黑" w:hAnsi="微软雅黑" w:eastAsia="微软雅黑" w:cs="宋体"/>
          <w:color w:val="333333"/>
          <w:kern w:val="0"/>
          <w:sz w:val="44"/>
          <w:szCs w:val="44"/>
        </w:rPr>
        <w:t xml:space="preserve"> </w:t>
      </w:r>
      <w:r>
        <w:rPr>
          <w:rFonts w:hint="eastAsia" w:ascii="方正小标宋简体" w:hAnsi="微软雅黑" w:eastAsia="方正小标宋简体" w:cs="宋体"/>
          <w:color w:val="333333"/>
          <w:kern w:val="0"/>
          <w:sz w:val="44"/>
          <w:szCs w:val="44"/>
          <w:lang w:eastAsia="zh-CN"/>
        </w:rPr>
        <w:t>抚松县露水河镇综合行政执法</w:t>
      </w:r>
      <w:r>
        <w:rPr>
          <w:rFonts w:hint="eastAsia" w:ascii="方正小标宋简体" w:hAnsi="微软雅黑" w:eastAsia="方正小标宋简体" w:cs="宋体"/>
          <w:color w:val="333333"/>
          <w:kern w:val="0"/>
          <w:sz w:val="44"/>
          <w:szCs w:val="44"/>
          <w:lang w:val="en-US" w:eastAsia="zh-CN"/>
        </w:rPr>
        <w:t>2025</w:t>
      </w:r>
      <w:r>
        <w:rPr>
          <w:rFonts w:hint="eastAsia" w:ascii="方正小标宋简体" w:hAnsi="微软雅黑" w:eastAsia="方正小标宋简体" w:cs="宋体"/>
          <w:color w:val="333333"/>
          <w:kern w:val="0"/>
          <w:sz w:val="44"/>
          <w:szCs w:val="44"/>
        </w:rPr>
        <w:t>年度行政执法</w:t>
      </w:r>
    </w:p>
    <w:p w14:paraId="5FC483E2">
      <w:pPr>
        <w:widowControl/>
        <w:shd w:val="clear" w:color="auto" w:fill="FFFFFF"/>
        <w:spacing w:line="555" w:lineRule="atLeast"/>
        <w:jc w:val="center"/>
        <w:rPr>
          <w:rFonts w:hint="default" w:ascii="微软雅黑" w:hAnsi="微软雅黑" w:eastAsia="方正小标宋简体" w:cs="宋体"/>
          <w:color w:val="333333"/>
          <w:kern w:val="0"/>
          <w:sz w:val="21"/>
          <w:szCs w:val="21"/>
          <w:lang w:val="en-US" w:eastAsia="zh-CN"/>
        </w:rPr>
      </w:pPr>
      <w:r>
        <w:rPr>
          <w:rFonts w:hint="eastAsia" w:ascii="方正小标宋简体" w:hAnsi="微软雅黑" w:eastAsia="方正小标宋简体" w:cs="宋体"/>
          <w:color w:val="333333"/>
          <w:kern w:val="0"/>
          <w:sz w:val="44"/>
          <w:szCs w:val="44"/>
          <w:lang w:val="en-US" w:eastAsia="zh-CN"/>
        </w:rPr>
        <w:t>情况说明</w:t>
      </w:r>
    </w:p>
    <w:p w14:paraId="30B8506E">
      <w:pPr>
        <w:widowControl/>
        <w:shd w:val="clear" w:color="auto" w:fill="FFFFFF"/>
        <w:spacing w:line="555" w:lineRule="atLeast"/>
        <w:jc w:val="center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</w:p>
    <w:p w14:paraId="56455A38">
      <w:pPr>
        <w:widowControl/>
        <w:shd w:val="clear" w:color="auto" w:fill="FFFFFF"/>
        <w:spacing w:line="555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ascii="微软雅黑" w:hAnsi="微软雅黑" w:eastAsia="微软雅黑" w:cs="宋体"/>
          <w:color w:val="333333"/>
          <w:kern w:val="0"/>
        </w:rPr>
        <w:t xml:space="preserve"> </w:t>
      </w:r>
    </w:p>
    <w:p w14:paraId="2A264ABC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楷体" w:hAnsi="楷体" w:eastAsia="楷体"/>
          <w:color w:val="333333"/>
          <w:kern w:val="0"/>
        </w:rPr>
      </w:pPr>
      <w:r>
        <w:rPr>
          <w:rFonts w:hint="eastAsia" w:ascii="楷体" w:hAnsi="楷体" w:eastAsia="楷体"/>
          <w:color w:val="333333"/>
          <w:kern w:val="0"/>
        </w:rPr>
        <w:t>一、行政处罚实施情况说明</w:t>
      </w:r>
    </w:p>
    <w:p w14:paraId="43B6C28F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本部门</w:t>
      </w:r>
      <w:r>
        <w:rPr>
          <w:rFonts w:hint="eastAsia" w:ascii="仿宋" w:hAnsi="仿宋"/>
          <w:color w:val="333333"/>
          <w:kern w:val="0"/>
          <w:lang w:val="en-US" w:eastAsia="zh-CN"/>
        </w:rPr>
        <w:t>2025</w:t>
      </w:r>
      <w:r>
        <w:rPr>
          <w:rFonts w:hint="eastAsia" w:ascii="仿宋" w:hAnsi="仿宋"/>
          <w:color w:val="333333"/>
          <w:kern w:val="0"/>
        </w:rPr>
        <w:t>年度行政处罚总数为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宗，罚没收入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元。</w:t>
      </w:r>
    </w:p>
    <w:p w14:paraId="50C000DF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本部门</w:t>
      </w:r>
      <w:r>
        <w:rPr>
          <w:rFonts w:hint="eastAsia" w:ascii="仿宋" w:hAnsi="仿宋"/>
          <w:color w:val="333333"/>
          <w:kern w:val="0"/>
          <w:lang w:val="en-US" w:eastAsia="zh-CN"/>
        </w:rPr>
        <w:t>2025</w:t>
      </w:r>
      <w:r>
        <w:rPr>
          <w:rFonts w:hint="eastAsia" w:ascii="仿宋" w:hAnsi="仿宋"/>
          <w:color w:val="333333"/>
          <w:kern w:val="0"/>
        </w:rPr>
        <w:t>年度行政处罚被申请行政复议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宗，占行政处罚总数的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%；行政复议决定撤销、变更或者确认违法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宗，占被申请行政复议宗数的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%，占行政处罚总数的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%。行政复议后又被提起行政诉讼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宗，判决撤销、部分撤销、变更、确认违法或者确认无效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宗，占行政复议后又被提起行政诉讼宗数的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%，占行政处罚总数的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%。</w:t>
      </w:r>
    </w:p>
    <w:p w14:paraId="170C198E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本部门</w:t>
      </w:r>
      <w:r>
        <w:rPr>
          <w:rFonts w:hint="eastAsia" w:ascii="仿宋" w:hAnsi="仿宋"/>
          <w:color w:val="333333"/>
          <w:kern w:val="0"/>
          <w:lang w:val="en-US" w:eastAsia="zh-CN"/>
        </w:rPr>
        <w:t>2025</w:t>
      </w:r>
      <w:r>
        <w:rPr>
          <w:rFonts w:hint="eastAsia" w:ascii="仿宋" w:hAnsi="仿宋"/>
          <w:color w:val="333333"/>
          <w:kern w:val="0"/>
        </w:rPr>
        <w:t>年度行政处罚直接被提起行政诉讼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宗，占行政处罚总数的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%；判决撤销、部分撤销、变更、确认违法或者确认无效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宗，占直接被提起行政诉讼宗数的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%，占行政处罚总数的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%。</w:t>
      </w:r>
    </w:p>
    <w:p w14:paraId="1B94AEC3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楷体" w:hAnsi="楷体" w:eastAsia="楷体"/>
          <w:color w:val="333333"/>
          <w:kern w:val="0"/>
        </w:rPr>
      </w:pPr>
      <w:r>
        <w:rPr>
          <w:rFonts w:hint="eastAsia" w:ascii="楷体" w:hAnsi="楷体" w:eastAsia="楷体"/>
          <w:color w:val="333333"/>
          <w:kern w:val="0"/>
        </w:rPr>
        <w:t>二、行政许可实施情况说明</w:t>
      </w:r>
    </w:p>
    <w:p w14:paraId="50770E68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本部门</w:t>
      </w:r>
      <w:r>
        <w:rPr>
          <w:rFonts w:hint="eastAsia" w:ascii="仿宋" w:hAnsi="仿宋"/>
          <w:color w:val="333333"/>
          <w:kern w:val="0"/>
          <w:lang w:val="en-US" w:eastAsia="zh-CN"/>
        </w:rPr>
        <w:t>2025</w:t>
      </w:r>
      <w:r>
        <w:rPr>
          <w:rFonts w:hint="eastAsia" w:ascii="仿宋" w:hAnsi="仿宋"/>
          <w:color w:val="333333"/>
          <w:kern w:val="0"/>
        </w:rPr>
        <w:t>年度行政许可申请总数为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宗，予以许可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宗。</w:t>
      </w:r>
    </w:p>
    <w:p w14:paraId="2BD32CAB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本部门</w:t>
      </w:r>
      <w:r>
        <w:rPr>
          <w:rFonts w:hint="eastAsia" w:ascii="仿宋" w:hAnsi="仿宋"/>
          <w:color w:val="333333"/>
          <w:kern w:val="0"/>
          <w:lang w:val="en-US" w:eastAsia="zh-CN"/>
        </w:rPr>
        <w:t>2025</w:t>
      </w:r>
      <w:r>
        <w:rPr>
          <w:rFonts w:hint="eastAsia" w:ascii="仿宋" w:hAnsi="仿宋"/>
          <w:color w:val="333333"/>
          <w:kern w:val="0"/>
        </w:rPr>
        <w:t>年度行政许可（含不予受理、予以许可和不予许可）被申请行政复议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宗，占行政许可申请总数的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%；行政复议决定履行法定职责、撤销、变更或者确认违法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宗，占被申请行政复议宗数的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%，占行政许可申请总数的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%。行政复议后又被提起行政诉讼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宗，判决履行法定职责、撤销、部分撤销、变更、确认违法或者确认无效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宗，占行政复议后又被提起行政诉讼宗数的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%，占行政许可申请总数的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%。</w:t>
      </w:r>
    </w:p>
    <w:p w14:paraId="2791BD7C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本部门</w:t>
      </w:r>
      <w:r>
        <w:rPr>
          <w:rFonts w:hint="eastAsia" w:ascii="仿宋" w:hAnsi="仿宋"/>
          <w:color w:val="333333"/>
          <w:kern w:val="0"/>
          <w:lang w:val="en-US" w:eastAsia="zh-CN"/>
        </w:rPr>
        <w:t>2025</w:t>
      </w:r>
      <w:r>
        <w:rPr>
          <w:rFonts w:hint="eastAsia" w:ascii="仿宋" w:hAnsi="仿宋"/>
          <w:color w:val="333333"/>
          <w:kern w:val="0"/>
        </w:rPr>
        <w:t>年度行政许可（含不予受理、予以许可和不予许可）直接被提起行政诉讼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宗，占行政许可申请总数的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%；判决履行法定职责、撤销、部分撤销、变更、确认违法或者确认无效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宗，占直接被提起行政诉讼宗数的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%，占行政许可申请总数的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%。</w:t>
      </w:r>
    </w:p>
    <w:p w14:paraId="2E16AC91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楷体" w:hAnsi="楷体" w:eastAsia="楷体"/>
          <w:color w:val="333333"/>
          <w:kern w:val="0"/>
        </w:rPr>
      </w:pPr>
      <w:r>
        <w:rPr>
          <w:rFonts w:hint="eastAsia" w:ascii="楷体" w:hAnsi="楷体" w:eastAsia="楷体"/>
          <w:color w:val="333333"/>
          <w:kern w:val="0"/>
        </w:rPr>
        <w:t>三、行政强制实施情况说明</w:t>
      </w:r>
    </w:p>
    <w:p w14:paraId="2E531BF9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本部门</w:t>
      </w:r>
      <w:r>
        <w:rPr>
          <w:rFonts w:hint="eastAsia" w:ascii="仿宋" w:hAnsi="仿宋"/>
          <w:color w:val="333333"/>
          <w:kern w:val="0"/>
          <w:lang w:val="en-US" w:eastAsia="zh-CN"/>
        </w:rPr>
        <w:t>2025</w:t>
      </w:r>
      <w:r>
        <w:rPr>
          <w:rFonts w:hint="eastAsia" w:ascii="仿宋" w:hAnsi="仿宋"/>
          <w:color w:val="333333"/>
          <w:kern w:val="0"/>
        </w:rPr>
        <w:t>年度行政强制总数为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宗。</w:t>
      </w:r>
    </w:p>
    <w:p w14:paraId="21145FC0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本部门</w:t>
      </w:r>
      <w:r>
        <w:rPr>
          <w:rFonts w:hint="eastAsia" w:ascii="仿宋" w:hAnsi="仿宋"/>
          <w:color w:val="333333"/>
          <w:kern w:val="0"/>
          <w:lang w:val="en-US" w:eastAsia="zh-CN"/>
        </w:rPr>
        <w:t>2025</w:t>
      </w:r>
      <w:r>
        <w:rPr>
          <w:rFonts w:hint="eastAsia" w:ascii="仿宋" w:hAnsi="仿宋"/>
          <w:color w:val="333333"/>
          <w:kern w:val="0"/>
        </w:rPr>
        <w:t>年度行政强制被申请行政复议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宗，占行政强制总数的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%；行政复议决定撤销、变更或者确认违法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宗，占被申请行政复议宗数的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%，占行政强制总数的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%。行政复议后又被提起行政诉讼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宗，判决撤销、部分撤销、变更、确认违法或者确认无效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宗，占行政复议后又被提起行政诉讼宗数的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%，占行政强制总数的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%。</w:t>
      </w:r>
    </w:p>
    <w:p w14:paraId="5B8CCDC5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本部门</w:t>
      </w:r>
      <w:r>
        <w:rPr>
          <w:rFonts w:hint="eastAsia" w:ascii="仿宋" w:hAnsi="仿宋"/>
          <w:color w:val="333333"/>
          <w:kern w:val="0"/>
          <w:lang w:val="en-US" w:eastAsia="zh-CN"/>
        </w:rPr>
        <w:t>2025</w:t>
      </w:r>
      <w:r>
        <w:rPr>
          <w:rFonts w:hint="eastAsia" w:ascii="仿宋" w:hAnsi="仿宋"/>
          <w:color w:val="333333"/>
          <w:kern w:val="0"/>
        </w:rPr>
        <w:t>年度行政强制直接被提起行政诉讼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宗，占行政强制总数的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%；判决撤销、部分撤销、变更、确认违法或者确认无效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宗，占直接被提起行政诉讼宗数的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%，占行政强制总数的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%。</w:t>
      </w:r>
    </w:p>
    <w:p w14:paraId="2E504355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楷体" w:hAnsi="楷体" w:eastAsia="楷体"/>
          <w:color w:val="333333"/>
          <w:kern w:val="0"/>
        </w:rPr>
      </w:pPr>
      <w:r>
        <w:rPr>
          <w:rFonts w:hint="eastAsia" w:ascii="楷体" w:hAnsi="楷体" w:eastAsia="楷体"/>
          <w:color w:val="333333"/>
          <w:kern w:val="0"/>
        </w:rPr>
        <w:t>四、行政征收实施情况说明</w:t>
      </w:r>
    </w:p>
    <w:p w14:paraId="70DCC03B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本部门</w:t>
      </w:r>
      <w:r>
        <w:rPr>
          <w:rFonts w:hint="eastAsia" w:ascii="仿宋" w:hAnsi="仿宋"/>
          <w:color w:val="333333"/>
          <w:kern w:val="0"/>
          <w:lang w:val="en-US" w:eastAsia="zh-CN"/>
        </w:rPr>
        <w:t>2025</w:t>
      </w:r>
      <w:r>
        <w:rPr>
          <w:rFonts w:hint="eastAsia" w:ascii="仿宋" w:hAnsi="仿宋"/>
          <w:color w:val="333333"/>
          <w:kern w:val="0"/>
        </w:rPr>
        <w:t>年度行政征收总数为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次，征收总金额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元。</w:t>
      </w:r>
    </w:p>
    <w:p w14:paraId="239B64F9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本部门</w:t>
      </w:r>
      <w:r>
        <w:rPr>
          <w:rFonts w:hint="eastAsia" w:ascii="仿宋" w:hAnsi="仿宋"/>
          <w:color w:val="333333"/>
          <w:kern w:val="0"/>
          <w:lang w:val="en-US" w:eastAsia="zh-CN"/>
        </w:rPr>
        <w:t>2025</w:t>
      </w:r>
      <w:r>
        <w:rPr>
          <w:rFonts w:hint="eastAsia" w:ascii="仿宋" w:hAnsi="仿宋"/>
          <w:color w:val="333333"/>
          <w:kern w:val="0"/>
        </w:rPr>
        <w:t>年度行政征收被申请行政复议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宗，占行政征收总数的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%；行政复议决定撤销、变更或者确认违法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宗，占被申请行政复议宗数的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%，占行政征收总数的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%。行政复议后又被提起行政诉讼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宗，判决撤销、部分撤销、变更、确认违法或者确认无效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宗，占行政复议后又被提起行政诉讼宗数的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%，占行政征收总数的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%。</w:t>
      </w:r>
    </w:p>
    <w:p w14:paraId="2B6999C1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本部门</w:t>
      </w:r>
      <w:r>
        <w:rPr>
          <w:rFonts w:hint="eastAsia" w:ascii="仿宋" w:hAnsi="仿宋"/>
          <w:color w:val="333333"/>
          <w:kern w:val="0"/>
          <w:lang w:val="en-US" w:eastAsia="zh-CN"/>
        </w:rPr>
        <w:t>2025</w:t>
      </w:r>
      <w:r>
        <w:rPr>
          <w:rFonts w:hint="eastAsia" w:ascii="仿宋" w:hAnsi="仿宋"/>
          <w:color w:val="333333"/>
          <w:kern w:val="0"/>
        </w:rPr>
        <w:t>年度行政征收直接被提起行政诉讼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宗，占行政征收总数的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%；判决撤销、部分撤销、变更、确认违法或者确认无效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宗，占直接被提起行政诉讼宗数的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%，占行政征收总数的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%。</w:t>
      </w:r>
    </w:p>
    <w:p w14:paraId="57E51C64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楷体" w:hAnsi="楷体" w:eastAsia="楷体"/>
          <w:color w:val="333333"/>
          <w:kern w:val="0"/>
        </w:rPr>
      </w:pPr>
      <w:r>
        <w:rPr>
          <w:rFonts w:hint="eastAsia" w:ascii="楷体" w:hAnsi="楷体" w:eastAsia="楷体"/>
          <w:color w:val="333333"/>
          <w:kern w:val="0"/>
        </w:rPr>
        <w:t>五、行政检查实施情况说明</w:t>
      </w:r>
    </w:p>
    <w:p w14:paraId="31F957BF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本部门</w:t>
      </w:r>
      <w:r>
        <w:rPr>
          <w:rFonts w:hint="eastAsia" w:ascii="仿宋" w:hAnsi="仿宋"/>
          <w:color w:val="333333"/>
          <w:kern w:val="0"/>
          <w:lang w:val="en-US" w:eastAsia="zh-CN"/>
        </w:rPr>
        <w:t>2025</w:t>
      </w:r>
      <w:r>
        <w:rPr>
          <w:rFonts w:hint="eastAsia" w:ascii="仿宋" w:hAnsi="仿宋"/>
          <w:color w:val="333333"/>
          <w:kern w:val="0"/>
        </w:rPr>
        <w:t>年度行政检查总数为</w:t>
      </w:r>
      <w:r>
        <w:rPr>
          <w:rFonts w:hint="eastAsia" w:ascii="仿宋" w:hAnsi="仿宋"/>
          <w:color w:val="333333"/>
          <w:kern w:val="0"/>
          <w:lang w:val="en-US" w:eastAsia="zh-CN"/>
        </w:rPr>
        <w:t>330</w:t>
      </w:r>
      <w:r>
        <w:rPr>
          <w:rFonts w:hint="eastAsia" w:ascii="仿宋" w:hAnsi="仿宋"/>
          <w:color w:val="333333"/>
          <w:kern w:val="0"/>
        </w:rPr>
        <w:t>次。</w:t>
      </w:r>
    </w:p>
    <w:p w14:paraId="17B1C247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本部门</w:t>
      </w:r>
      <w:r>
        <w:rPr>
          <w:rFonts w:hint="eastAsia" w:ascii="仿宋" w:hAnsi="仿宋"/>
          <w:color w:val="333333"/>
          <w:kern w:val="0"/>
          <w:lang w:val="en-US" w:eastAsia="zh-CN"/>
        </w:rPr>
        <w:t>2025</w:t>
      </w:r>
      <w:r>
        <w:rPr>
          <w:rFonts w:hint="eastAsia" w:ascii="仿宋" w:hAnsi="仿宋"/>
          <w:color w:val="333333"/>
          <w:kern w:val="0"/>
        </w:rPr>
        <w:t>年度行政检查被申请行政复议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宗，占行政检查总数的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%；行政复议决定确认违法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宗，占被申请行政复议宗数的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%，占行政检查总数的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%。行政复议后又被提起行政诉讼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宗，判决确认违法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宗，占行政复议后又被提起行政诉讼宗数的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%，占行政检查总数的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%。</w:t>
      </w:r>
    </w:p>
    <w:p w14:paraId="7D232A7A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本部门</w:t>
      </w:r>
      <w:r>
        <w:rPr>
          <w:rFonts w:hint="eastAsia" w:ascii="仿宋" w:hAnsi="仿宋"/>
          <w:color w:val="333333"/>
          <w:kern w:val="0"/>
          <w:lang w:val="en-US" w:eastAsia="zh-CN"/>
        </w:rPr>
        <w:t>2025</w:t>
      </w:r>
      <w:r>
        <w:rPr>
          <w:rFonts w:hint="eastAsia" w:ascii="仿宋" w:hAnsi="仿宋"/>
          <w:color w:val="333333"/>
          <w:kern w:val="0"/>
        </w:rPr>
        <w:t>年度行政检查直接被提起行政诉讼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宗，占行政检查总数的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%；判决确认违法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X宗，占直接被提起行政诉讼宗数的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%，占行政检查总数的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%。</w:t>
      </w:r>
    </w:p>
    <w:p w14:paraId="63CFCBE6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楷体" w:hAnsi="楷体" w:eastAsia="楷体"/>
          <w:color w:val="333333"/>
          <w:kern w:val="0"/>
        </w:rPr>
      </w:pPr>
      <w:r>
        <w:rPr>
          <w:rFonts w:hint="eastAsia" w:ascii="楷体" w:hAnsi="楷体" w:eastAsia="楷体"/>
          <w:color w:val="333333"/>
          <w:kern w:val="0"/>
        </w:rPr>
        <w:t>六、行政裁决实施情况说明</w:t>
      </w:r>
    </w:p>
    <w:p w14:paraId="0D8DC8DF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本部门</w:t>
      </w:r>
      <w:r>
        <w:rPr>
          <w:rFonts w:hint="eastAsia" w:ascii="仿宋" w:hAnsi="仿宋"/>
          <w:color w:val="333333"/>
          <w:kern w:val="0"/>
          <w:lang w:val="en-US" w:eastAsia="zh-CN"/>
        </w:rPr>
        <w:t>2025</w:t>
      </w:r>
      <w:r>
        <w:rPr>
          <w:rFonts w:hint="eastAsia" w:ascii="仿宋" w:hAnsi="仿宋"/>
          <w:color w:val="333333"/>
          <w:kern w:val="0"/>
        </w:rPr>
        <w:t>年度行政裁决总数为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次，涉及总金额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元。</w:t>
      </w:r>
    </w:p>
    <w:p w14:paraId="42C5C20A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楷体" w:hAnsi="楷体" w:eastAsia="楷体"/>
          <w:color w:val="333333"/>
          <w:kern w:val="0"/>
        </w:rPr>
      </w:pPr>
      <w:r>
        <w:rPr>
          <w:rFonts w:hint="eastAsia" w:ascii="楷体" w:hAnsi="楷体" w:eastAsia="楷体"/>
          <w:color w:val="333333"/>
          <w:kern w:val="0"/>
        </w:rPr>
        <w:t>七、行政给付实施情况说明</w:t>
      </w:r>
    </w:p>
    <w:p w14:paraId="2157F27E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本部门</w:t>
      </w:r>
      <w:r>
        <w:rPr>
          <w:rFonts w:hint="eastAsia" w:ascii="仿宋" w:hAnsi="仿宋"/>
          <w:color w:val="333333"/>
          <w:kern w:val="0"/>
          <w:lang w:val="en-US" w:eastAsia="zh-CN"/>
        </w:rPr>
        <w:t>2025</w:t>
      </w:r>
      <w:r>
        <w:rPr>
          <w:rFonts w:hint="eastAsia" w:ascii="仿宋" w:hAnsi="仿宋"/>
          <w:color w:val="333333"/>
          <w:kern w:val="0"/>
        </w:rPr>
        <w:t>年度行政给付总数为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次，给付总金额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元。</w:t>
      </w:r>
    </w:p>
    <w:p w14:paraId="6BD2A345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本部门</w:t>
      </w:r>
      <w:r>
        <w:rPr>
          <w:rFonts w:hint="eastAsia" w:ascii="仿宋" w:hAnsi="仿宋"/>
          <w:color w:val="333333"/>
          <w:kern w:val="0"/>
          <w:lang w:val="en-US" w:eastAsia="zh-CN"/>
        </w:rPr>
        <w:t>2025</w:t>
      </w:r>
      <w:r>
        <w:rPr>
          <w:rFonts w:hint="eastAsia" w:ascii="仿宋" w:hAnsi="仿宋"/>
          <w:color w:val="333333"/>
          <w:kern w:val="0"/>
        </w:rPr>
        <w:t>年度行政给付被申请行政复议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宗，占行政给付总数的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%；行政复议决定履行法定职责、撤销、变更或者确认违法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宗，占被申请行政复议宗数的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%，占行政给付总数的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%。行政复议后又被提起行政诉讼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宗，判决履行法定职责、履行给付职责、撤销、部分撤销、变更、确认违法或者确认无效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宗，占行政复议后又被提起行政诉讼宗数的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%，占行政给付总数的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%。</w:t>
      </w:r>
    </w:p>
    <w:p w14:paraId="53566703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本部门</w:t>
      </w:r>
      <w:r>
        <w:rPr>
          <w:rFonts w:hint="eastAsia" w:ascii="仿宋" w:hAnsi="仿宋"/>
          <w:color w:val="333333"/>
          <w:kern w:val="0"/>
          <w:lang w:val="en-US" w:eastAsia="zh-CN"/>
        </w:rPr>
        <w:t>2025</w:t>
      </w:r>
      <w:r>
        <w:rPr>
          <w:rFonts w:hint="eastAsia" w:ascii="仿宋" w:hAnsi="仿宋"/>
          <w:color w:val="333333"/>
          <w:kern w:val="0"/>
        </w:rPr>
        <w:t>年度行政给付直接被提起行政诉讼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宗，占行政给付总数的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%；判决履行法定职责、履行给付职责、撤销、部分撤销、变更、确认违法或者确认无效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宗，占直接被提起行政诉讼宗数的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%，占行政给付总数的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%。</w:t>
      </w:r>
    </w:p>
    <w:p w14:paraId="4DB1A1B1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楷体" w:hAnsi="楷体" w:eastAsia="楷体"/>
          <w:color w:val="333333"/>
          <w:kern w:val="0"/>
        </w:rPr>
      </w:pPr>
      <w:r>
        <w:rPr>
          <w:rFonts w:hint="eastAsia" w:ascii="楷体" w:hAnsi="楷体" w:eastAsia="楷体"/>
          <w:color w:val="333333"/>
          <w:kern w:val="0"/>
        </w:rPr>
        <w:t>八、行政确认实施情况说明</w:t>
      </w:r>
    </w:p>
    <w:p w14:paraId="7472FB6F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本部门</w:t>
      </w:r>
      <w:r>
        <w:rPr>
          <w:rFonts w:hint="eastAsia" w:ascii="仿宋" w:hAnsi="仿宋"/>
          <w:color w:val="333333"/>
          <w:kern w:val="0"/>
          <w:lang w:val="en-US" w:eastAsia="zh-CN"/>
        </w:rPr>
        <w:t>2025</w:t>
      </w:r>
      <w:r>
        <w:rPr>
          <w:rFonts w:hint="eastAsia" w:ascii="仿宋" w:hAnsi="仿宋"/>
          <w:color w:val="333333"/>
          <w:kern w:val="0"/>
        </w:rPr>
        <w:t>年度行政确认总数为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次。</w:t>
      </w:r>
    </w:p>
    <w:p w14:paraId="163638C8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本部门</w:t>
      </w:r>
      <w:r>
        <w:rPr>
          <w:rFonts w:hint="eastAsia" w:ascii="仿宋" w:hAnsi="仿宋"/>
          <w:color w:val="333333"/>
          <w:kern w:val="0"/>
          <w:lang w:val="en-US" w:eastAsia="zh-CN"/>
        </w:rPr>
        <w:t>2025</w:t>
      </w:r>
      <w:r>
        <w:rPr>
          <w:rFonts w:hint="eastAsia" w:ascii="仿宋" w:hAnsi="仿宋"/>
          <w:color w:val="333333"/>
          <w:kern w:val="0"/>
        </w:rPr>
        <w:t>年度行政确认被申请行政复议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宗，占行政确认总数的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%；行政复议决定履行法定职责、撤销、变更或者确认违法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宗，占被申请行政复议宗数的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%，占行政确认总数的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%。行政复议后又被提起行政诉讼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宗，判决履行法定职责、撤销、部分撤销、变更、确认违法或者确认无效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宗，占行政复议后又被提起行政诉讼宗数的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%，占行政确认总数的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%。</w:t>
      </w:r>
    </w:p>
    <w:p w14:paraId="021D5BA6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本部门</w:t>
      </w:r>
      <w:r>
        <w:rPr>
          <w:rFonts w:hint="eastAsia" w:ascii="仿宋" w:hAnsi="仿宋"/>
          <w:color w:val="333333"/>
          <w:kern w:val="0"/>
          <w:lang w:val="en-US" w:eastAsia="zh-CN"/>
        </w:rPr>
        <w:t>2025</w:t>
      </w:r>
      <w:r>
        <w:rPr>
          <w:rFonts w:hint="eastAsia" w:ascii="仿宋" w:hAnsi="仿宋"/>
          <w:color w:val="333333"/>
          <w:kern w:val="0"/>
        </w:rPr>
        <w:t>年度行政确认直接被提起行政诉讼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宗，占行政确认总数的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%；判决履行法定职责、撤销、部分撤销、变更、确认违法或者确认无效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宗，占直接被提起行政诉讼宗数的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%，占行政确认总数的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%。</w:t>
      </w:r>
    </w:p>
    <w:p w14:paraId="34F7F45E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楷体" w:hAnsi="楷体" w:eastAsia="楷体"/>
          <w:color w:val="333333"/>
          <w:kern w:val="0"/>
        </w:rPr>
      </w:pPr>
      <w:r>
        <w:rPr>
          <w:rFonts w:hint="eastAsia" w:ascii="楷体" w:hAnsi="楷体" w:eastAsia="楷体"/>
          <w:color w:val="333333"/>
          <w:kern w:val="0"/>
        </w:rPr>
        <w:t>九、行政奖励实施情况说明</w:t>
      </w:r>
    </w:p>
    <w:p w14:paraId="69ED1E19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本部门</w:t>
      </w:r>
      <w:r>
        <w:rPr>
          <w:rFonts w:hint="eastAsia" w:ascii="仿宋" w:hAnsi="仿宋"/>
          <w:color w:val="333333"/>
          <w:kern w:val="0"/>
          <w:lang w:val="en-US" w:eastAsia="zh-CN"/>
        </w:rPr>
        <w:t>2025</w:t>
      </w:r>
      <w:r>
        <w:rPr>
          <w:rFonts w:hint="eastAsia" w:ascii="仿宋" w:hAnsi="仿宋"/>
          <w:color w:val="333333"/>
          <w:kern w:val="0"/>
        </w:rPr>
        <w:t>年度行政奖励总数为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次。</w:t>
      </w:r>
    </w:p>
    <w:p w14:paraId="77FEECDA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本部门</w:t>
      </w:r>
      <w:r>
        <w:rPr>
          <w:rFonts w:hint="eastAsia" w:ascii="仿宋" w:hAnsi="仿宋"/>
          <w:color w:val="333333"/>
          <w:kern w:val="0"/>
          <w:lang w:val="en-US" w:eastAsia="zh-CN"/>
        </w:rPr>
        <w:t>2025</w:t>
      </w:r>
      <w:r>
        <w:rPr>
          <w:rFonts w:hint="eastAsia" w:ascii="仿宋" w:hAnsi="仿宋"/>
          <w:color w:val="333333"/>
          <w:kern w:val="0"/>
        </w:rPr>
        <w:t>年度行政奖励被申请行政复议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宗，占行政奖励总数的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%；行政复议决定履行法定职责、撤销、变更或者确认违法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宗，占被申请行政复议宗数的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%，占行政奖励总数的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%。行政复议后又被提起行政诉讼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宗，判决履行法定职责、撤销、部分撤销、变更、确认违法或者确认无效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宗，占行政复议后又被提起行政诉讼宗数的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%，占行政奖励总数的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%。</w:t>
      </w:r>
    </w:p>
    <w:p w14:paraId="23EEBE7A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本部门</w:t>
      </w:r>
      <w:r>
        <w:rPr>
          <w:rFonts w:hint="eastAsia" w:ascii="仿宋" w:hAnsi="仿宋"/>
          <w:color w:val="333333"/>
          <w:kern w:val="0"/>
          <w:lang w:val="en-US" w:eastAsia="zh-CN"/>
        </w:rPr>
        <w:t>2025</w:t>
      </w:r>
      <w:r>
        <w:rPr>
          <w:rFonts w:hint="eastAsia" w:ascii="仿宋" w:hAnsi="仿宋"/>
          <w:color w:val="333333"/>
          <w:kern w:val="0"/>
        </w:rPr>
        <w:t>年度行政奖励直接被提起行政诉讼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宗，占行政奖励总数的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%；判决履行法定职责、撤销、部分撤销、变更、确认违法或者确认无效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宗，占直接被提起行政诉讼宗数的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%，占行政奖励总数的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%。</w:t>
      </w:r>
    </w:p>
    <w:p w14:paraId="4D8463FF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楷体" w:hAnsi="楷体" w:eastAsia="楷体"/>
          <w:color w:val="333333"/>
          <w:kern w:val="0"/>
        </w:rPr>
      </w:pPr>
      <w:r>
        <w:rPr>
          <w:rFonts w:hint="eastAsia" w:ascii="楷体" w:hAnsi="楷体" w:eastAsia="楷体"/>
          <w:color w:val="333333"/>
          <w:kern w:val="0"/>
        </w:rPr>
        <w:t>十、其他行政执法行为实施情况说明</w:t>
      </w:r>
    </w:p>
    <w:p w14:paraId="367E904E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本部门</w:t>
      </w:r>
      <w:r>
        <w:rPr>
          <w:rFonts w:hint="eastAsia" w:ascii="仿宋" w:hAnsi="仿宋"/>
          <w:color w:val="333333"/>
          <w:kern w:val="0"/>
          <w:lang w:val="en-US" w:eastAsia="zh-CN"/>
        </w:rPr>
        <w:t>2025</w:t>
      </w:r>
      <w:r>
        <w:rPr>
          <w:rFonts w:hint="eastAsia" w:ascii="仿宋" w:hAnsi="仿宋"/>
          <w:color w:val="333333"/>
          <w:kern w:val="0"/>
        </w:rPr>
        <w:t>年度其他行政执法行为总数为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宗。</w:t>
      </w:r>
    </w:p>
    <w:p w14:paraId="3E10D027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本部门</w:t>
      </w:r>
      <w:r>
        <w:rPr>
          <w:rFonts w:hint="eastAsia" w:ascii="仿宋" w:hAnsi="仿宋"/>
          <w:color w:val="333333"/>
          <w:kern w:val="0"/>
          <w:lang w:val="en-US" w:eastAsia="zh-CN"/>
        </w:rPr>
        <w:t>2025</w:t>
      </w:r>
      <w:r>
        <w:rPr>
          <w:rFonts w:hint="eastAsia" w:ascii="仿宋" w:hAnsi="仿宋"/>
          <w:color w:val="333333"/>
          <w:kern w:val="0"/>
        </w:rPr>
        <w:t>年度其他行政执法行为被申请行政复议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宗，占其他行政执法行为总数的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%；行政复议决定履行法定职责、撤销、变更或者确认违法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宗，占被申请行政复议宗数的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%，占其他行政执法行为总数的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%。行政复议后又被提起行政诉讼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宗，判决履行法定职责、撤销、部分撤销、变更、确认违法或者确认无效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宗，占行政复议后又被提起行政诉讼宗数的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%，占其他行政执法行为总数的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%。</w:t>
      </w:r>
    </w:p>
    <w:p w14:paraId="75D90F0F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本部门</w:t>
      </w:r>
      <w:r>
        <w:rPr>
          <w:rFonts w:hint="eastAsia" w:ascii="仿宋" w:hAnsi="仿宋"/>
          <w:color w:val="333333"/>
          <w:kern w:val="0"/>
          <w:lang w:val="en-US" w:eastAsia="zh-CN"/>
        </w:rPr>
        <w:t>2025</w:t>
      </w:r>
      <w:r>
        <w:rPr>
          <w:rFonts w:hint="eastAsia" w:ascii="仿宋" w:hAnsi="仿宋"/>
          <w:color w:val="333333"/>
          <w:kern w:val="0"/>
        </w:rPr>
        <w:t>年度其他行政执法行为直接被提起行政诉讼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宗，占其他行政执法行为总数的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%；判决履行法定职责、撤销、部分撤销、变更、确认违法或者确认无效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宗，占直接被提起行政诉讼宗数的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%，占其他行政执法行为总数的</w:t>
      </w:r>
      <w:r>
        <w:rPr>
          <w:rFonts w:hint="eastAsia" w:ascii="仿宋" w:hAnsi="仿宋"/>
          <w:color w:val="333333"/>
          <w:kern w:val="0"/>
          <w:lang w:val="en-US" w:eastAsia="zh-CN"/>
        </w:rPr>
        <w:t>0</w:t>
      </w:r>
      <w:r>
        <w:rPr>
          <w:rFonts w:hint="eastAsia" w:ascii="仿宋" w:hAnsi="仿宋"/>
          <w:color w:val="333333"/>
          <w:kern w:val="0"/>
        </w:rPr>
        <w:t>%。</w:t>
      </w:r>
    </w:p>
    <w:p w14:paraId="742FED8B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（注：“被申请行政复议和被提起行政诉讼”数量的统计范围为统计年度1月1日至12月31日期间作出复议决定和生效判决的数量。）</w:t>
      </w:r>
    </w:p>
    <w:p w14:paraId="5AC476E0">
      <w:pPr>
        <w:rPr>
          <w:rFonts w:hint="eastAsia" w:ascii="仿宋" w:hAnsi="仿宋"/>
        </w:rPr>
      </w:pPr>
      <w:r>
        <w:rPr>
          <w:rFonts w:hint="eastAsia" w:ascii="仿宋" w:hAnsi="仿宋"/>
        </w:rPr>
        <w:t xml:space="preserve"> </w:t>
      </w:r>
    </w:p>
    <w:p w14:paraId="1BDF68EB">
      <w:pPr>
        <w:rPr>
          <w:rFonts w:hint="eastAsia" w:ascii="仿宋" w:hAnsi="仿宋"/>
        </w:rPr>
      </w:pPr>
    </w:p>
    <w:p w14:paraId="3662474B">
      <w:pPr>
        <w:rPr>
          <w:rFonts w:hint="eastAsia" w:ascii="仿宋" w:hAnsi="仿宋"/>
        </w:rPr>
      </w:pPr>
    </w:p>
    <w:p w14:paraId="163715DE">
      <w:pPr>
        <w:rPr>
          <w:rFonts w:hint="eastAsia" w:ascii="仿宋" w:hAnsi="仿宋"/>
          <w:lang w:val="en-US" w:eastAsia="zh-CN"/>
        </w:rPr>
      </w:pPr>
      <w:r>
        <w:rPr>
          <w:rFonts w:hint="eastAsia" w:ascii="仿宋" w:hAnsi="仿宋"/>
          <w:lang w:val="en-US" w:eastAsia="zh-CN"/>
        </w:rPr>
        <w:t xml:space="preserve">                                   </w:t>
      </w:r>
    </w:p>
    <w:p w14:paraId="29920394">
      <w:pPr>
        <w:rPr>
          <w:rFonts w:hint="eastAsia" w:ascii="仿宋" w:hAnsi="仿宋"/>
          <w:lang w:val="en-US" w:eastAsia="zh-CN"/>
        </w:rPr>
      </w:pPr>
    </w:p>
    <w:p w14:paraId="4228C64F">
      <w:pPr>
        <w:ind w:firstLine="5440" w:firstLineChars="1700"/>
        <w:rPr>
          <w:rFonts w:hint="eastAsia" w:ascii="仿宋" w:hAnsi="仿宋"/>
          <w:lang w:val="en-US" w:eastAsia="zh-CN"/>
        </w:rPr>
      </w:pPr>
      <w:r>
        <w:rPr>
          <w:rFonts w:hint="eastAsia" w:ascii="仿宋" w:hAnsi="仿宋"/>
          <w:lang w:val="en-US" w:eastAsia="zh-CN"/>
        </w:rPr>
        <w:t>露水河镇人民政府</w:t>
      </w:r>
    </w:p>
    <w:p w14:paraId="234ECF63">
      <w:pPr>
        <w:ind w:firstLine="5760" w:firstLineChars="1800"/>
        <w:rPr>
          <w:rFonts w:hint="default" w:ascii="仿宋" w:hAnsi="仿宋"/>
          <w:lang w:val="en-US" w:eastAsia="zh-CN"/>
        </w:rPr>
      </w:pPr>
      <w:r>
        <w:rPr>
          <w:rFonts w:hint="eastAsia" w:ascii="仿宋" w:hAnsi="仿宋"/>
          <w:lang w:val="en-US" w:eastAsia="zh-CN"/>
        </w:rPr>
        <w:t>2026年1月28日</w:t>
      </w:r>
    </w:p>
    <w:p w14:paraId="2B673724"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69025645"/>
      <w:docPartObj>
        <w:docPartGallery w:val="autotext"/>
      </w:docPartObj>
    </w:sdtPr>
    <w:sdtContent>
      <w:p w14:paraId="445A9693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70BDC3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4NjE4ODgzYjQ3ZDMzZWUxNDQyNTAwNjM0M2Q0ZGQifQ=="/>
  </w:docVars>
  <w:rsids>
    <w:rsidRoot w:val="00490172"/>
    <w:rsid w:val="00036507"/>
    <w:rsid w:val="000437C5"/>
    <w:rsid w:val="000819C1"/>
    <w:rsid w:val="0009173D"/>
    <w:rsid w:val="000B4B6E"/>
    <w:rsid w:val="000C3860"/>
    <w:rsid w:val="000D0B6D"/>
    <w:rsid w:val="000F0D7F"/>
    <w:rsid w:val="0012357E"/>
    <w:rsid w:val="0012479C"/>
    <w:rsid w:val="001A333D"/>
    <w:rsid w:val="001F5FE0"/>
    <w:rsid w:val="001F6EA3"/>
    <w:rsid w:val="00221068"/>
    <w:rsid w:val="002236AE"/>
    <w:rsid w:val="002439F9"/>
    <w:rsid w:val="00256091"/>
    <w:rsid w:val="002B53B1"/>
    <w:rsid w:val="002E554F"/>
    <w:rsid w:val="00310B8E"/>
    <w:rsid w:val="003115B5"/>
    <w:rsid w:val="00340BCD"/>
    <w:rsid w:val="003F132B"/>
    <w:rsid w:val="00403B4D"/>
    <w:rsid w:val="00471F25"/>
    <w:rsid w:val="00473A45"/>
    <w:rsid w:val="00475C3B"/>
    <w:rsid w:val="004856E6"/>
    <w:rsid w:val="00490172"/>
    <w:rsid w:val="004B62DC"/>
    <w:rsid w:val="004D5555"/>
    <w:rsid w:val="004E7AB5"/>
    <w:rsid w:val="00505254"/>
    <w:rsid w:val="00530F70"/>
    <w:rsid w:val="005410A7"/>
    <w:rsid w:val="00543164"/>
    <w:rsid w:val="00553503"/>
    <w:rsid w:val="00627849"/>
    <w:rsid w:val="00630C33"/>
    <w:rsid w:val="00630F57"/>
    <w:rsid w:val="00634F4B"/>
    <w:rsid w:val="00636CC8"/>
    <w:rsid w:val="006475BB"/>
    <w:rsid w:val="006C6AD1"/>
    <w:rsid w:val="006D5D6A"/>
    <w:rsid w:val="007348B4"/>
    <w:rsid w:val="00737D5C"/>
    <w:rsid w:val="00753171"/>
    <w:rsid w:val="00771733"/>
    <w:rsid w:val="007A70B7"/>
    <w:rsid w:val="007D483B"/>
    <w:rsid w:val="007F101F"/>
    <w:rsid w:val="00807580"/>
    <w:rsid w:val="00815688"/>
    <w:rsid w:val="00836E3E"/>
    <w:rsid w:val="0086229E"/>
    <w:rsid w:val="0086270C"/>
    <w:rsid w:val="0089426B"/>
    <w:rsid w:val="008B36EA"/>
    <w:rsid w:val="008D14AC"/>
    <w:rsid w:val="008D2AEF"/>
    <w:rsid w:val="008F0935"/>
    <w:rsid w:val="00966286"/>
    <w:rsid w:val="009667D9"/>
    <w:rsid w:val="00980EB2"/>
    <w:rsid w:val="0098563E"/>
    <w:rsid w:val="00A05F47"/>
    <w:rsid w:val="00A338F2"/>
    <w:rsid w:val="00A507B9"/>
    <w:rsid w:val="00B13252"/>
    <w:rsid w:val="00B17D50"/>
    <w:rsid w:val="00B21FF6"/>
    <w:rsid w:val="00B619FC"/>
    <w:rsid w:val="00B80C75"/>
    <w:rsid w:val="00B90082"/>
    <w:rsid w:val="00BD5F39"/>
    <w:rsid w:val="00BF70F8"/>
    <w:rsid w:val="00CA3A9A"/>
    <w:rsid w:val="00CF0E88"/>
    <w:rsid w:val="00CF3D07"/>
    <w:rsid w:val="00D01520"/>
    <w:rsid w:val="00D163EE"/>
    <w:rsid w:val="00D207D4"/>
    <w:rsid w:val="00D32C11"/>
    <w:rsid w:val="00D3759C"/>
    <w:rsid w:val="00D83D64"/>
    <w:rsid w:val="00D87CBA"/>
    <w:rsid w:val="00DA2182"/>
    <w:rsid w:val="00DA60E8"/>
    <w:rsid w:val="00DB2A6F"/>
    <w:rsid w:val="00DF71C2"/>
    <w:rsid w:val="00E41C4C"/>
    <w:rsid w:val="00E547F7"/>
    <w:rsid w:val="00E74553"/>
    <w:rsid w:val="00EB40AC"/>
    <w:rsid w:val="00EE6184"/>
    <w:rsid w:val="00F46CFA"/>
    <w:rsid w:val="00FC7D6D"/>
    <w:rsid w:val="00FD3FB9"/>
    <w:rsid w:val="00FE737A"/>
    <w:rsid w:val="01B91DF9"/>
    <w:rsid w:val="021A1A8E"/>
    <w:rsid w:val="24726144"/>
    <w:rsid w:val="28A30382"/>
    <w:rsid w:val="2FD3745A"/>
    <w:rsid w:val="2FD71193"/>
    <w:rsid w:val="36792BAB"/>
    <w:rsid w:val="3FE83BA9"/>
    <w:rsid w:val="419175F9"/>
    <w:rsid w:val="41B50B4C"/>
    <w:rsid w:val="43302EB2"/>
    <w:rsid w:val="4BC20786"/>
    <w:rsid w:val="58983D22"/>
    <w:rsid w:val="5C326704"/>
    <w:rsid w:val="5D995C7C"/>
    <w:rsid w:val="63B974FB"/>
    <w:rsid w:val="64795204"/>
    <w:rsid w:val="765E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仿宋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autoRedefine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15"/>
    <w:basedOn w:val="7"/>
    <w:autoRedefine/>
    <w:qFormat/>
    <w:uiPriority w:val="0"/>
    <w:rPr>
      <w:rFonts w:hint="default" w:ascii="Calibri" w:hAnsi="Calibri" w:cs="Calibri"/>
      <w:b/>
      <w:bCs/>
    </w:rPr>
  </w:style>
  <w:style w:type="character" w:customStyle="1" w:styleId="9">
    <w:name w:val="页眉 Char"/>
    <w:basedOn w:val="7"/>
    <w:link w:val="3"/>
    <w:autoRedefine/>
    <w:qFormat/>
    <w:uiPriority w:val="99"/>
    <w:rPr>
      <w:rFonts w:ascii="Calibri" w:hAnsi="Calibri" w:cs="Times New Roman"/>
      <w:sz w:val="18"/>
      <w:szCs w:val="18"/>
    </w:rPr>
  </w:style>
  <w:style w:type="character" w:customStyle="1" w:styleId="10">
    <w:name w:val="页脚 Char"/>
    <w:basedOn w:val="7"/>
    <w:link w:val="2"/>
    <w:autoRedefine/>
    <w:qFormat/>
    <w:uiPriority w:val="99"/>
    <w:rPr>
      <w:rFonts w:ascii="Calibri"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15</Pages>
  <Words>4366</Words>
  <Characters>4595</Characters>
  <Lines>40</Lines>
  <Paragraphs>11</Paragraphs>
  <TotalTime>146</TotalTime>
  <ScaleCrop>false</ScaleCrop>
  <LinksUpToDate>false</LinksUpToDate>
  <CharactersWithSpaces>4649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2021-04-26T08:16:00Z</dcterms:created>
  <dc:creator>dreamsummit</dc:creator>
  <cp:lastModifiedBy>神宗一郎</cp:lastModifiedBy>
  <cp:lastPrinted>2026-01-29T01:52:03Z</cp:lastPrinted>
  <dcterms:modified xsi:type="dcterms:W3CDTF">2026-01-29T02:56:36Z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5AB73FD80ABC494FB5A7F5858E9CE3CE_13</vt:lpwstr>
  </property>
  <property fmtid="{D5CDD505-2E9C-101B-9397-08002B2CF9AE}" pid="4" name="KSOTemplateDocerSaveRecord">
    <vt:lpwstr>eyJoZGlkIjoiNTFmMTE0YWM4ZGQ3YzI5ODY2YWNiNmY2ZGIzOGQxMDEiLCJ1c2VySWQiOiI2MDA0Mzg2MjUifQ==</vt:lpwstr>
  </property>
</Properties>
</file>