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41007">
      <w:pPr>
        <w:pStyle w:val="2"/>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白山市抚松县露水河镇综合行政执法事项清单</w:t>
      </w:r>
    </w:p>
    <w:tbl>
      <w:tblPr>
        <w:tblStyle w:val="9"/>
        <w:tblW w:w="154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2200"/>
        <w:gridCol w:w="1050"/>
        <w:gridCol w:w="856"/>
        <w:gridCol w:w="860"/>
        <w:gridCol w:w="1124"/>
        <w:gridCol w:w="3125"/>
        <w:gridCol w:w="4260"/>
        <w:gridCol w:w="1476"/>
      </w:tblGrid>
      <w:tr w14:paraId="3688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2EBE">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C49E">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41A5">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14:paraId="04EEDDD7">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03ED">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14:paraId="4597F467">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60" w:type="dxa"/>
            <w:tcBorders>
              <w:top w:val="single" w:color="000000" w:sz="4" w:space="0"/>
              <w:left w:val="single" w:color="000000" w:sz="4" w:space="0"/>
              <w:bottom w:val="nil"/>
              <w:right w:val="single" w:color="auto" w:sz="4" w:space="0"/>
            </w:tcBorders>
            <w:shd w:val="clear" w:color="auto" w:fill="auto"/>
            <w:vAlign w:val="center"/>
          </w:tcPr>
          <w:p w14:paraId="19D811F2">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14:paraId="56636BF3">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1124" w:type="dxa"/>
            <w:tcBorders>
              <w:top w:val="single" w:color="000000" w:sz="4" w:space="0"/>
              <w:left w:val="single" w:color="auto" w:sz="4" w:space="0"/>
              <w:bottom w:val="nil"/>
              <w:right w:val="single" w:color="auto" w:sz="4" w:space="0"/>
            </w:tcBorders>
            <w:shd w:val="clear" w:color="auto" w:fill="auto"/>
            <w:vAlign w:val="center"/>
          </w:tcPr>
          <w:p w14:paraId="28566541">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w:t>
            </w:r>
          </w:p>
          <w:p w14:paraId="1952E804">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项来源</w:t>
            </w:r>
          </w:p>
        </w:tc>
        <w:tc>
          <w:tcPr>
            <w:tcW w:w="3125" w:type="dxa"/>
            <w:tcBorders>
              <w:top w:val="single" w:color="000000" w:sz="4" w:space="0"/>
              <w:left w:val="single" w:color="auto" w:sz="4" w:space="0"/>
              <w:bottom w:val="nil"/>
              <w:right w:val="single" w:color="auto" w:sz="4" w:space="0"/>
            </w:tcBorders>
            <w:shd w:val="clear" w:color="auto" w:fill="auto"/>
            <w:vAlign w:val="center"/>
          </w:tcPr>
          <w:p w14:paraId="3C017D5A">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4260" w:type="dxa"/>
            <w:tcBorders>
              <w:top w:val="single" w:color="000000" w:sz="4" w:space="0"/>
              <w:left w:val="single" w:color="auto" w:sz="4" w:space="0"/>
              <w:bottom w:val="nil"/>
              <w:right w:val="single" w:color="000000" w:sz="4" w:space="0"/>
            </w:tcBorders>
            <w:shd w:val="clear" w:color="auto" w:fill="auto"/>
            <w:vAlign w:val="center"/>
          </w:tcPr>
          <w:p w14:paraId="4C87769B">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131C">
            <w:pPr>
              <w:keepNext w:val="0"/>
              <w:keepLines w:val="0"/>
              <w:widowControl/>
              <w:suppressLineNumbers w:val="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实施对象</w:t>
            </w:r>
          </w:p>
        </w:tc>
      </w:tr>
      <w:tr w14:paraId="05C9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9C6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07A">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对</w:t>
            </w:r>
            <w:r>
              <w:rPr>
                <w:rFonts w:hint="eastAsia" w:ascii="仿宋_GB2312" w:hAnsi="仿宋_GB2312" w:eastAsia="仿宋_GB2312" w:cs="仿宋_GB2312"/>
                <w:i w:val="0"/>
                <w:iCs w:val="0"/>
                <w:color w:val="000000"/>
                <w:sz w:val="16"/>
                <w:szCs w:val="16"/>
                <w:u w:val="none"/>
              </w:rPr>
              <w:t>未依法取得乡村建设规划许可证或者未按照乡村建设规划许可证的规定进行建设</w:t>
            </w:r>
            <w:r>
              <w:rPr>
                <w:rFonts w:hint="eastAsia" w:ascii="仿宋_GB2312" w:hAnsi="仿宋_GB2312" w:eastAsia="仿宋_GB2312" w:cs="仿宋_GB2312"/>
                <w:i w:val="0"/>
                <w:iCs w:val="0"/>
                <w:color w:val="000000"/>
                <w:sz w:val="16"/>
                <w:szCs w:val="16"/>
                <w:u w:val="none"/>
                <w:lang w:val="en-US" w:eastAsia="zh-CN"/>
              </w:rPr>
              <w:t>的</w:t>
            </w:r>
            <w:r>
              <w:rPr>
                <w:rFonts w:hint="eastAsia" w:ascii="仿宋_GB2312" w:hAnsi="仿宋_GB2312" w:eastAsia="仿宋_GB2312" w:cs="仿宋_GB2312"/>
                <w:i w:val="0"/>
                <w:iCs w:val="0"/>
                <w:color w:val="000000"/>
                <w:kern w:val="0"/>
                <w:sz w:val="16"/>
                <w:szCs w:val="16"/>
                <w:u w:val="none"/>
                <w:lang w:val="en-US" w:eastAsia="zh-CN"/>
              </w:rPr>
              <w:t>强制措施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A2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行政强制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CC0C">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3796CF">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14:paraId="77D8833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788FED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83C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A50A">
            <w:pPr>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E670">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64D3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3D4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585">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损坏村庄和集镇的房屋、公共设施的；乱堆粪便、垃圾、柴草，破坏村容镇貌和环境卫生的处罚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33C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744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14:paraId="756BDDF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14:paraId="383BDFB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9883AE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CE5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i w:val="0"/>
                <w:iCs w:val="0"/>
                <w:color w:val="000000"/>
                <w:sz w:val="16"/>
                <w:szCs w:val="16"/>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DE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《村庄和集镇规划建设管理条例》第三十九条：有下列行为之一的，由乡级人民政府责令停止侵害，可以处以罚款；造成损失的，并应当赔偿：</w:t>
            </w:r>
          </w:p>
          <w:p w14:paraId="1D9D345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（一）损坏村庄和集镇的房屋、公共设施的；</w:t>
            </w:r>
          </w:p>
          <w:p w14:paraId="0FCCF4F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（二）乱堆粪便、垃圾、柴草，破坏村容镇貌和环境卫生的。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9C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4B1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0100">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E97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擅自在村庄、集镇规划区内的街道、广场、市场和车站等场所修建临时建筑物、构筑物和其他设施的处罚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DCE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51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E3639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E30BE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CA838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682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kern w:val="0"/>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148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《村庄和集镇规划建设管理条例》第四十条：擅自在村庄、集镇规划区内的街道、广场、市场和车站等场所修建临时建筑物、构筑物和其他设施的，由乡级人民政府责令限期拆除，并可处以罚款。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99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1CFC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000000" w:sz="4" w:space="0"/>
              <w:left w:val="single" w:color="000000" w:sz="4" w:space="0"/>
              <w:bottom w:val="single" w:color="auto" w:sz="4" w:space="0"/>
              <w:right w:val="single" w:color="000000" w:sz="4" w:space="0"/>
            </w:tcBorders>
            <w:shd w:val="clear" w:color="auto" w:fill="auto"/>
            <w:vAlign w:val="center"/>
          </w:tcPr>
          <w:p w14:paraId="224D9DC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4</w:t>
            </w:r>
          </w:p>
        </w:tc>
        <w:tc>
          <w:tcPr>
            <w:tcW w:w="2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6CD01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未经业主大会决定或者业主共同决定，改变物业服务用房用途的处罚；转让和抵押物业服务用房的处罚</w:t>
            </w:r>
          </w:p>
        </w:tc>
        <w:tc>
          <w:tcPr>
            <w:tcW w:w="10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7F949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78045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000000" w:sz="4" w:space="0"/>
              <w:left w:val="single" w:color="000000" w:sz="4" w:space="0"/>
              <w:bottom w:val="single" w:color="auto" w:sz="4" w:space="0"/>
              <w:right w:val="single" w:color="auto" w:sz="4" w:space="0"/>
            </w:tcBorders>
            <w:shd w:val="clear" w:color="auto" w:fill="auto"/>
            <w:vAlign w:val="center"/>
          </w:tcPr>
          <w:p w14:paraId="1EB8E22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000000" w:sz="4" w:space="0"/>
              <w:left w:val="single" w:color="auto" w:sz="4" w:space="0"/>
              <w:bottom w:val="single" w:color="auto" w:sz="4" w:space="0"/>
              <w:right w:val="single" w:color="000000" w:sz="4" w:space="0"/>
            </w:tcBorders>
            <w:shd w:val="clear" w:color="auto" w:fill="auto"/>
            <w:vAlign w:val="center"/>
          </w:tcPr>
          <w:p w14:paraId="08B33620">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88D3FE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6717C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p>
        </w:tc>
        <w:tc>
          <w:tcPr>
            <w:tcW w:w="42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85BA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62930C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3B87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0C55A43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5</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0D64587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未经业主大会决定或者业主共同决定，改变共有部分用途、利用共有部分从事经营活动或者处分共有部分的处罚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E221C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E9913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C18FBA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256E38D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F3EB8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37A6AF39">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kern w:val="2"/>
                <w:sz w:val="16"/>
                <w:szCs w:val="16"/>
                <w:u w:val="none"/>
                <w:lang w:val="en-US" w:eastAsia="zh-CN" w:bidi="ar-SA"/>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8F99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6F0A94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61B3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347CF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6</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7A7BFFD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建设单位未按照规定将全部资料报送街道办事处、乡镇人民政府，经责令限期改正，逾期不改正的处罚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4F4E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12BA74">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287D1AA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2F457356">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A0F4B2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0B9358D5">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75B01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598976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17A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43A82B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7</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04EF06C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建设单位未按照规定将前期物业服务合同报送备案的，经责令限期改正，逾期不改正的处罚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D1AB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717A8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92272A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1BF081A4">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9C03A9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5F852347">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180EB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3BDD71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1A85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A2571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8</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45DA774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建设单位未按照规定将临时管理规约报送备案，经责令限期改正，逾期不改正的处罚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5DE9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F4242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09E44814">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507703D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47C1BD2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3BFC91E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57699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0E6E5D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6F65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59D192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9</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09CB1AF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建设单位、物业服务人未按照规定履行承接查验义务的处罚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5952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0060B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33A9672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5399F090">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4E76E05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167883D1">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43993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4C22ED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59D2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4"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244260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10</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1FD30B8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物业服务人将其应当提供的全部物业服务转委托给第三人，或者将全部物业服务支解后分别转委托给第三人的处罚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D30A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EA4095">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7BE76A1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7F84109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7F91C62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725016A0">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03F05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14:paraId="697DF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14:paraId="20816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14:paraId="3A5C1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14:paraId="4F86B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14:paraId="59FDAE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14:paraId="15AF0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14:paraId="10762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14:paraId="7F91D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14:paraId="32CC1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767746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4193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04ABAA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11</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3396C06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物业服务人提供物业服务未遵守相关规定的处罚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6AEA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E36D5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2953D2B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668A64F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12F74C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4BD33024">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0196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14:paraId="169A5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14:paraId="15A2B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14:paraId="15C21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14:paraId="08422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14:paraId="535EF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14:paraId="5360E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14:paraId="0C0A4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14:paraId="3561D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14:paraId="71D6E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5929E7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4A3A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20184E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12</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23DC8BA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物业服务人采取停止供电、供水、供热、供燃气以及限制业主进出小区、入户的方式催交物业费的处罚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C1AE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2EFE63">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35129F60">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39DA3B4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4A4B55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14EBDC95">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3AF2767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14:paraId="74AB59D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708D98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39B0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1CEE98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13</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2843458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物业服务人未按照规定将物业服务合同报送备案的处罚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6767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C89FE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0DBBB90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76CD824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FB810F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66A0A4A2">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C0EA94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061C9B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353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38B09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14</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3064274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物业项目负责人未按照规定报到的处罚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D8C9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B7DA0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50FE62B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78DC361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CECC7F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02F3A12D">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73D7D2C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22C652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1AD8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59A7F8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15</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5D5A68E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物业服务人未按照规定在物业管理区域内显著位置公开相关信息的处罚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0C78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20841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519D129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0E6DF3B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BC86F8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06ABA45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4DE0771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646200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546F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D1FA9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16</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579F320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物业服务人未按照规定建立、保存物业服务档案和资料的处罚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2736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8A5CA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557677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61EFA444">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13E3941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79200193">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73865CE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642A29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43A9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67C5C0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17</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3820907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C371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F47CBFB">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08251D9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708B213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3711D5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6E4D0609">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5E64331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039C36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6DE5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D9E36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18</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36B9697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D2BC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C8A5E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4827A44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669B5C92">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76F6387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4C6E984D">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0BA7943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1B913B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702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4BCDC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19</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1E91011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建设单位将未出售或者未附赠的车位、车库出租给本物业管理区域外的其他使用人、每次租赁期限超过一年的处罚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4D5F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59AF8B">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DC6426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3A9D31B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4FC8E7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23AC2AC9">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72D9986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00503B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C90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674EC5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20</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48B97ED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挪用、侵占属于业主共有的经营收益的处罚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441D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F524E0">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DA7C12B">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1EB6BC0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DD03DD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33EBFFA7">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45E374E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5995C2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1B70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4B78BF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21</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7C8F65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农村宅基地审批</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9861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行政许可</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70F85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5404114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4CE922D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DA8786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5E4AB93B">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13C0942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14:paraId="6F8F64C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“第六十二条 第四款 农村村民住宅用地，由乡（镇）人民政府审核批准，其中，涉及占用农用地的，依照本法第四十四条的规定办理审批手续。”</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7710C7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719C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0C9ED2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22</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6A22FA8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个人之间、个人与单位之间的争议土地权属争议调处</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3FF2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235D0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7B3DCFB">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63D88EE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739D7B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0A030CD9">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3039429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14:paraId="35DBA86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“第十四条 第一款 土地所有权和使用权争议，由当事人协商解决；协商不成的，由人民政府处理。</w:t>
            </w:r>
          </w:p>
          <w:p w14:paraId="065255D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 xml:space="preserve"> 第二款 单位之间的争议，由县级以上人民政府处理；个人之间、个人与单位之间的争议，由乡级人民政府或者县级以上人民政府处理。”</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61480C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080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26FF12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23</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0D22AF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个人之间、个人与单位之间的林木、林地权属争议裁决</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B2A9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94CDA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7BFA5D3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230F787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08AAD25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13A5ADE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74C0E4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《中华人民共和国森林法》 （2019年12月28日第十三届全国人民代表大会常务委员会第十五次会议修订，自2020年7月1日起施行。)</w:t>
            </w:r>
          </w:p>
          <w:p w14:paraId="45450CD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“第二十二条 第一款 单位之间发生的林木、林地所有权和使用权争议，由县级以上人民政府依法处理。</w:t>
            </w:r>
          </w:p>
          <w:p w14:paraId="752C45B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第二款 个人之间、个人与单位之间发生的林木所有权和林地使用权争议，由乡镇人民政府或县级以上人民政府依法处理。”</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4C182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7D08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7E95C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24</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75A644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物业管理活动的指导和监督管理工作</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285D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8D728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226A13D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1D1D65A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C62752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667480B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4582745F">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《吉林省物业管理条例》第六条：街道办事处、乡镇人民政府负责本行政区域内物业管理活动的指导和监督管理工作，依法履行对物业管理区域内的物业服务实施监督检查</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21E18D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18FF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3822FB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25</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73A958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安全生产状况监督检查</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92C3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F51C2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AE4B56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7FE6AA5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47D81A8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1FCBBD77">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CBAA4C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《中华人民共和国安全生产法》（2021年6月10日，中华人民共和国第十三届全国人民代表大会常务委员会第二十九次会议修改，自2021年9月1日起施行）</w:t>
            </w:r>
          </w:p>
          <w:p w14:paraId="3627438D">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“第九条 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58666B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E8F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0E935C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26</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5CBE41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对农业投入品生产者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销售者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使用者未按照规定及时回收肥料等农业投 入品的包装废弃物</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农用薄膜</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或者未按照规定及时回收农药</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包装废弃物交由专门的机构或者组织进行无害化处理的行政处罚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9C01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C7F37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E9055E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674554D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4828BBA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027E12B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22</w:t>
            </w:r>
            <w:r>
              <w:rPr>
                <w:rFonts w:hint="eastAsia" w:ascii="仿宋_GB2312" w:hAnsi="仿宋_GB2312" w:eastAsia="仿宋_GB2312" w:cs="仿宋_GB2312"/>
                <w:sz w:val="16"/>
                <w:szCs w:val="16"/>
              </w:rPr>
              <w:t>项</w:t>
            </w:r>
          </w:p>
          <w:p w14:paraId="3E394E1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C3ABB64">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《中华人民共和国土壤污染防治法》</w:t>
            </w:r>
          </w:p>
          <w:p w14:paraId="3B614552">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第八十八条︰违反本法规定</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仿宋_GB2312" w:hAnsi="仿宋_GB2312" w:eastAsia="仿宋_GB2312" w:cs="仿宋_GB2312"/>
                <w:sz w:val="16"/>
                <w:szCs w:val="16"/>
                <w:vertAlign w:val="baseline"/>
                <w:lang w:eastAsia="zh-CN"/>
              </w:rPr>
              <w:t>。</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41C212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25CE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7B800C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27</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505409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对销售的种子应当包装而没有包装的行政处罚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CCF3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F781C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2CA5F74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3AA57AC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6C7F77D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1E82325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23</w:t>
            </w:r>
            <w:r>
              <w:rPr>
                <w:rFonts w:hint="eastAsia" w:ascii="仿宋_GB2312" w:hAnsi="仿宋_GB2312" w:eastAsia="仿宋_GB2312" w:cs="仿宋_GB2312"/>
                <w:sz w:val="16"/>
                <w:szCs w:val="16"/>
              </w:rPr>
              <w:t>项</w:t>
            </w:r>
          </w:p>
          <w:p w14:paraId="61A1448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151DF8E1">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《中华人民共和国种子法》(2015年11月4日修订，2021年12月24日第三次修正)</w:t>
            </w:r>
          </w:p>
          <w:p w14:paraId="45DB5BC8">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第七十九条︰违反本法第三十六条、第三十八条、第三十九条．第四十条规定，有下列行为之一的，由县级以上人民政府农业农村、林业草原主管部门责令改正，处二千元以上二万元以下罚款:</w:t>
            </w:r>
          </w:p>
          <w:p w14:paraId="439AB868">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(一)销售的种子应当包装而没有包装的﹔</w:t>
            </w:r>
          </w:p>
          <w:p w14:paraId="24FB5681">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(二)销售的种子没有使用说明或者标签内容不符合规定的﹔</w:t>
            </w:r>
          </w:p>
          <w:p w14:paraId="128FE902">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(三)涂改标签的﹔</w:t>
            </w:r>
          </w:p>
          <w:p w14:paraId="344C91BE">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(四）未按规定建立、保存种子生产经营档案的﹔</w:t>
            </w:r>
          </w:p>
          <w:p w14:paraId="0BEB92E8">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(五）种子生产经营者在异地设立分支机构、专门经营不再分装的包装种子或者受委托生产、代销种子，未按规定备案的</w:t>
            </w:r>
            <w:r>
              <w:rPr>
                <w:rFonts w:hint="eastAsia" w:ascii="仿宋_GB2312" w:hAnsi="仿宋_GB2312" w:eastAsia="仿宋_GB2312" w:cs="仿宋_GB2312"/>
                <w:sz w:val="16"/>
                <w:szCs w:val="16"/>
                <w:vertAlign w:val="baseline"/>
                <w:lang w:eastAsia="zh-CN"/>
              </w:rPr>
              <w:t>。</w:t>
            </w:r>
          </w:p>
          <w:p w14:paraId="5D7E8505">
            <w:pPr>
              <w:keepNext w:val="0"/>
              <w:keepLines w:val="0"/>
              <w:widowControl/>
              <w:suppressLineNumbers w:val="0"/>
              <w:jc w:val="left"/>
              <w:textAlignment w:val="center"/>
              <w:rPr>
                <w:rFonts w:hint="eastAsia" w:ascii="仿宋_GB2312" w:hAnsi="仿宋_GB2312" w:eastAsia="仿宋_GB2312" w:cs="仿宋_GB2312"/>
                <w:kern w:val="2"/>
                <w:sz w:val="16"/>
                <w:szCs w:val="16"/>
                <w:vertAlign w:val="baseline"/>
                <w:lang w:val="en-US" w:eastAsia="zh-CN" w:bidi="ar-SA"/>
              </w:rPr>
            </w:pP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14CA85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0085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400FA1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28</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338190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对未经县级以上人民政府林业主管部门审核同意,擅自改变林地用途的行政处罚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55CD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71FF40">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1FD4233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19569B52">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198FFDE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0CBD707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34</w:t>
            </w:r>
            <w:r>
              <w:rPr>
                <w:rFonts w:hint="eastAsia" w:ascii="仿宋_GB2312" w:hAnsi="仿宋_GB2312" w:eastAsia="仿宋_GB2312" w:cs="仿宋_GB2312"/>
                <w:sz w:val="16"/>
                <w:szCs w:val="16"/>
              </w:rPr>
              <w:t>项</w:t>
            </w:r>
          </w:p>
          <w:p w14:paraId="0367B3D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0030C90B">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《中华人民共和国森林法》(2019年12月28日修订)</w:t>
            </w:r>
          </w:p>
          <w:p w14:paraId="400B476A">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仿宋_GB2312" w:eastAsia="仿宋_GB2312" w:cs="仿宋_GB2312"/>
                <w:sz w:val="16"/>
                <w:szCs w:val="16"/>
                <w:vertAlign w:val="baseline"/>
                <w:lang w:eastAsia="zh-CN"/>
              </w:rPr>
              <w:t>。</w:t>
            </w:r>
          </w:p>
          <w:p w14:paraId="2473B12B">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4667E5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7FE3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6EF3EF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29</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41FCA6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对在幼林地砍柴、毁苗、放牧造成林木毁坏的行政处罚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541D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54CD93">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47F67D6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20F401A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5F79601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2362E0F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36</w:t>
            </w:r>
            <w:r>
              <w:rPr>
                <w:rFonts w:hint="eastAsia" w:ascii="仿宋_GB2312" w:hAnsi="仿宋_GB2312" w:eastAsia="仿宋_GB2312" w:cs="仿宋_GB2312"/>
                <w:sz w:val="16"/>
                <w:szCs w:val="16"/>
              </w:rPr>
              <w:t>项</w:t>
            </w:r>
          </w:p>
          <w:p w14:paraId="3E2D9C9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98283A9">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中华人民共和国森林法》(2019年12月28日修订)</w:t>
            </w:r>
          </w:p>
          <w:p w14:paraId="4AE41E08">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第七十四条第二款︰违反本法规定﹐在幼林地砍柴、毁苗、放牧造成林木毁坏的，由县级以上人民政府林业主管部门责令停止违法行为﹐限期在原地或者异地补种毁坏株数一倍以上三倍以下的树木</w:t>
            </w:r>
            <w:r>
              <w:rPr>
                <w:rFonts w:hint="eastAsia" w:ascii="仿宋_GB2312" w:hAnsi="仿宋_GB2312" w:eastAsia="仿宋_GB2312" w:cs="仿宋_GB2312"/>
                <w:sz w:val="16"/>
                <w:szCs w:val="16"/>
                <w:vertAlign w:val="baseline"/>
                <w:lang w:eastAsia="zh-CN"/>
              </w:rPr>
              <w:t>。</w:t>
            </w:r>
          </w:p>
          <w:p w14:paraId="30EB20A9">
            <w:pPr>
              <w:jc w:val="left"/>
              <w:rPr>
                <w:rFonts w:hint="eastAsia" w:ascii="仿宋_GB2312" w:hAnsi="仿宋_GB2312" w:eastAsia="仿宋_GB2312" w:cs="仿宋_GB2312"/>
                <w:i w:val="0"/>
                <w:iCs w:val="0"/>
                <w:color w:val="000000"/>
                <w:kern w:val="0"/>
                <w:sz w:val="16"/>
                <w:szCs w:val="16"/>
                <w:u w:val="none"/>
                <w:lang w:val="en-US" w:eastAsia="zh-CN"/>
              </w:rPr>
            </w:pP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501791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1E3D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525E9A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30</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043C70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对未按照规定办理登记手续并取得相应的证书和牌照,擅自将拖拉机、联合收割机投入使用，或者未按照规定办理变更登记手续的行政处罚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D154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8FA8A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27E8C30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2036E82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0EB3D7B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49867BA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45</w:t>
            </w:r>
            <w:r>
              <w:rPr>
                <w:rFonts w:hint="eastAsia" w:ascii="仿宋_GB2312" w:hAnsi="仿宋_GB2312" w:eastAsia="仿宋_GB2312" w:cs="仿宋_GB2312"/>
                <w:sz w:val="16"/>
                <w:szCs w:val="16"/>
              </w:rPr>
              <w:t>项</w:t>
            </w:r>
          </w:p>
          <w:p w14:paraId="11B6161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54E107AB">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《业机械安全监督管理条例》(2019年3月2日修订 发文字号:国务院令第563号)</w:t>
            </w:r>
          </w:p>
          <w:p w14:paraId="52D43AC7">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14:paraId="1EE10ACF">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当事人补办相关手续的﹐应当及时退还扣押的拖拉机、联合收割机。</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38D892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5DE2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14:paraId="5948F6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31</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14:paraId="356E32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对未取得拖拉机、联合收割机操作证件而操作拖拉机、联合收割机的行政处罚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99E3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DCE22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14:paraId="6766D85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14:paraId="33ACB4F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14:paraId="3858DE7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4EB5DA7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46</w:t>
            </w:r>
            <w:r>
              <w:rPr>
                <w:rFonts w:hint="eastAsia" w:ascii="仿宋_GB2312" w:hAnsi="仿宋_GB2312" w:eastAsia="仿宋_GB2312" w:cs="仿宋_GB2312"/>
                <w:sz w:val="16"/>
                <w:szCs w:val="16"/>
              </w:rPr>
              <w:t>项</w:t>
            </w:r>
          </w:p>
          <w:p w14:paraId="7ADC4B1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14:paraId="2AA1F38E">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《农业机械安全监督管理条例》(2019年3月2日修订</w:t>
            </w:r>
            <w:r>
              <w:rPr>
                <w:rFonts w:hint="eastAsia" w:ascii="仿宋_GB2312" w:hAnsi="仿宋_GB2312" w:eastAsia="仿宋_GB2312" w:cs="仿宋_GB2312"/>
                <w:sz w:val="16"/>
                <w:szCs w:val="16"/>
                <w:vertAlign w:val="baseline"/>
                <w:lang w:val="en-US" w:eastAsia="zh-CN"/>
              </w:rPr>
              <w:t xml:space="preserve"> </w:t>
            </w:r>
            <w:r>
              <w:rPr>
                <w:rFonts w:hint="eastAsia" w:ascii="仿宋_GB2312" w:hAnsi="仿宋_GB2312" w:eastAsia="仿宋_GB2312" w:cs="仿宋_GB2312"/>
                <w:sz w:val="16"/>
                <w:szCs w:val="16"/>
                <w:vertAlign w:val="baseline"/>
              </w:rPr>
              <w:t>发文字号:国务院令第563号)</w:t>
            </w:r>
          </w:p>
          <w:p w14:paraId="055E8D84">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第五十二条未取得拖拉机、联合收割机操作证件而操作拖拉机、联合收割机的，由县级以上地方人民政府农业机械化主管部门责令改正﹐处100元以上500元以下罚款</w:t>
            </w:r>
            <w:r>
              <w:rPr>
                <w:rFonts w:hint="eastAsia" w:ascii="仿宋_GB2312" w:hAnsi="仿宋_GB2312" w:eastAsia="仿宋_GB2312" w:cs="仿宋_GB2312"/>
                <w:sz w:val="16"/>
                <w:szCs w:val="16"/>
                <w:vertAlign w:val="baseline"/>
                <w:lang w:eastAsia="zh-CN"/>
              </w:rPr>
              <w:t>。</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453DD0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14:paraId="00D5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000000" w:sz="4" w:space="0"/>
              <w:right w:val="single" w:color="000000" w:sz="4" w:space="0"/>
            </w:tcBorders>
            <w:shd w:val="clear" w:color="auto" w:fill="auto"/>
            <w:vAlign w:val="center"/>
          </w:tcPr>
          <w:p w14:paraId="5F4667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32</w:t>
            </w:r>
          </w:p>
        </w:tc>
        <w:tc>
          <w:tcPr>
            <w:tcW w:w="22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DC3CC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对使用拖拉机、联合收割机违反规定载人的行政处罚</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ADF4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0D160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露水河镇人民政府</w:t>
            </w:r>
          </w:p>
        </w:tc>
        <w:tc>
          <w:tcPr>
            <w:tcW w:w="860" w:type="dxa"/>
            <w:tcBorders>
              <w:top w:val="single" w:color="auto" w:sz="4" w:space="0"/>
              <w:left w:val="single" w:color="000000" w:sz="4" w:space="0"/>
              <w:bottom w:val="single" w:color="000000" w:sz="4" w:space="0"/>
              <w:right w:val="single" w:color="auto" w:sz="4" w:space="0"/>
            </w:tcBorders>
            <w:shd w:val="clear" w:color="auto" w:fill="auto"/>
            <w:vAlign w:val="center"/>
          </w:tcPr>
          <w:p w14:paraId="249B01E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露水河镇</w:t>
            </w:r>
          </w:p>
        </w:tc>
        <w:tc>
          <w:tcPr>
            <w:tcW w:w="1124" w:type="dxa"/>
            <w:tcBorders>
              <w:top w:val="single" w:color="auto" w:sz="4" w:space="0"/>
              <w:left w:val="single" w:color="auto" w:sz="4" w:space="0"/>
              <w:bottom w:val="single" w:color="000000" w:sz="4" w:space="0"/>
              <w:right w:val="single" w:color="000000" w:sz="4" w:space="0"/>
            </w:tcBorders>
            <w:shd w:val="clear" w:color="auto" w:fill="auto"/>
            <w:vAlign w:val="center"/>
          </w:tcPr>
          <w:p w14:paraId="7E334A3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4BD9E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14:paraId="11B7E2C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47</w:t>
            </w:r>
            <w:r>
              <w:rPr>
                <w:rFonts w:hint="eastAsia" w:ascii="仿宋_GB2312" w:hAnsi="仿宋_GB2312" w:eastAsia="仿宋_GB2312" w:cs="仿宋_GB2312"/>
                <w:sz w:val="16"/>
                <w:szCs w:val="16"/>
              </w:rPr>
              <w:t>项</w:t>
            </w:r>
          </w:p>
          <w:p w14:paraId="1B7993F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66FD8B8">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《农业机械安全监督管理条例》(2019年3月2日修订 发文字号:国务院令第563号)</w:t>
            </w:r>
          </w:p>
          <w:p w14:paraId="5728031F">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14:paraId="7410B9A8">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当事人改正违法行为的﹐应当及时退还扣押的拖拉机、联合收割机的证书、牌照。</w:t>
            </w:r>
          </w:p>
        </w:tc>
        <w:tc>
          <w:tcPr>
            <w:tcW w:w="1476" w:type="dxa"/>
            <w:tcBorders>
              <w:top w:val="single" w:color="auto" w:sz="4" w:space="0"/>
              <w:left w:val="single" w:color="000000" w:sz="4" w:space="0"/>
              <w:bottom w:val="single" w:color="000000" w:sz="4" w:space="0"/>
              <w:right w:val="single" w:color="000000" w:sz="4" w:space="0"/>
            </w:tcBorders>
            <w:shd w:val="clear" w:color="auto" w:fill="auto"/>
            <w:vAlign w:val="center"/>
          </w:tcPr>
          <w:p w14:paraId="568EC6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bl>
    <w:p w14:paraId="5AF5EAD3">
      <w:pPr>
        <w:pStyle w:val="2"/>
        <w:rPr>
          <w:lang w:val="en-US" w:eastAsia="zh-CN"/>
        </w:rPr>
      </w:pPr>
    </w:p>
    <w:sectPr>
      <w:foot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33F0">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7"/>
                      </a:xfrm>
                      <a:prstGeom prst="rect">
                        <a:avLst/>
                      </a:prstGeom>
                      <a:noFill/>
                      <a:ln w="6350" cap="flat" cmpd="sng">
                        <a:noFill/>
                        <a:prstDash val="solid"/>
                        <a:round/>
                      </a:ln>
                    </wps:spPr>
                    <wps:txbx>
                      <w:txbxContent>
                        <w:p w14:paraId="0E83A99B">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FqK598BAgAA9AMAAA4AAAAAAAAAAQAgAAAAJAEAAGRycy9l&#10;Mm9Eb2MueG1sUEsFBgAAAAAGAAYAWQEAAJcFAAAAAA==&#10;">
              <v:fill on="f" focussize="0,0"/>
              <v:stroke on="f" weight="0.5pt" joinstyle="round"/>
              <v:imagedata o:title=""/>
              <o:lock v:ext="edit" aspectratio="f"/>
              <v:textbox inset="0mm,0mm,0mm,0mm" style="mso-fit-shape-to-text:t;">
                <w:txbxContent>
                  <w:p w14:paraId="0E83A99B">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YjVhYmZhNGQ1NDY2MmE2NDg1NDk4N2QwNWMzYmU5ZTQifQ=="/>
  </w:docVars>
  <w:rsids>
    <w:rsidRoot w:val="00000000"/>
    <w:rsid w:val="07230B10"/>
    <w:rsid w:val="09A47895"/>
    <w:rsid w:val="0E045E7A"/>
    <w:rsid w:val="12E67669"/>
    <w:rsid w:val="152F4368"/>
    <w:rsid w:val="17270C4B"/>
    <w:rsid w:val="1DFE2AB9"/>
    <w:rsid w:val="1F7A62B3"/>
    <w:rsid w:val="223B554C"/>
    <w:rsid w:val="25875EA9"/>
    <w:rsid w:val="27D74B17"/>
    <w:rsid w:val="296F40C1"/>
    <w:rsid w:val="378B7C0C"/>
    <w:rsid w:val="44C74AC4"/>
    <w:rsid w:val="47176886"/>
    <w:rsid w:val="4C854292"/>
    <w:rsid w:val="59421722"/>
    <w:rsid w:val="59A81BA8"/>
    <w:rsid w:val="5BE90DDA"/>
    <w:rsid w:val="67FE6CE6"/>
    <w:rsid w:val="6D5B646F"/>
    <w:rsid w:val="6F2A4AF9"/>
    <w:rsid w:val="72FC49FE"/>
    <w:rsid w:val="74BF2E45"/>
    <w:rsid w:val="75EE4BF1"/>
    <w:rsid w:val="790E745D"/>
    <w:rsid w:val="7EB7C76A"/>
    <w:rsid w:val="A7E564BF"/>
    <w:rsid w:val="DBBF5BB7"/>
    <w:rsid w:val="DFBE5945"/>
    <w:rsid w:val="DFFE1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spacing w:before="0" w:beforeAutospacing="1" w:after="0" w:afterAutospacing="1"/>
      <w:jc w:val="left"/>
      <w:outlineLvl w:val="1"/>
    </w:pPr>
    <w:rPr>
      <w:rFonts w:ascii="宋体" w:eastAsia="宋体" w:cs="宋体"/>
      <w:b/>
      <w:bCs/>
      <w:kern w:val="0"/>
      <w:sz w:val="36"/>
      <w:szCs w:val="36"/>
      <w:lang w:val="en-US" w:eastAsia="zh-CN"/>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5">
    <w:name w:val="caption"/>
    <w:basedOn w:val="1"/>
    <w:next w:val="1"/>
    <w:semiHidden/>
    <w:unhideWhenUsed/>
    <w:qFormat/>
    <w:uiPriority w:val="0"/>
    <w:rPr>
      <w:rFonts w:ascii="Arial" w:hAnsi="Arial" w:eastAsia="黑体"/>
      <w:sz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91"/>
    <w:basedOn w:val="11"/>
    <w:qFormat/>
    <w:uiPriority w:val="0"/>
    <w:rPr>
      <w:rFonts w:ascii="仿宋" w:eastAsia="仿宋" w:cs="仿宋"/>
      <w:color w:val="000000"/>
      <w:sz w:val="16"/>
      <w:szCs w:val="16"/>
      <w:u w:val="none"/>
    </w:rPr>
  </w:style>
  <w:style w:type="character" w:customStyle="1" w:styleId="13">
    <w:name w:val="font41"/>
    <w:basedOn w:val="11"/>
    <w:qFormat/>
    <w:uiPriority w:val="0"/>
    <w:rPr>
      <w:rFonts w:ascii="宋体" w:eastAsia="宋体" w:cs="宋体"/>
      <w:color w:val="000000"/>
      <w:sz w:val="16"/>
      <w:szCs w:val="16"/>
      <w:u w:val="none"/>
    </w:rPr>
  </w:style>
  <w:style w:type="character" w:customStyle="1" w:styleId="14">
    <w:name w:val="font31"/>
    <w:basedOn w:val="11"/>
    <w:qFormat/>
    <w:uiPriority w:val="0"/>
    <w:rPr>
      <w:rFonts w:ascii="方正书宋_GBK" w:hAnsi="方正书宋_GBK" w:eastAsia="方正书宋_GBK" w:cs="方正书宋_GBK"/>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8732</Words>
  <Characters>8903</Characters>
  <Lines>1609</Lines>
  <Paragraphs>519</Paragraphs>
  <TotalTime>1</TotalTime>
  <ScaleCrop>false</ScaleCrop>
  <LinksUpToDate>false</LinksUpToDate>
  <CharactersWithSpaces>8919</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2021-10-12T13:58:00Z</dcterms:created>
  <dc:creator>小可 史</dc:creator>
  <cp:lastModifiedBy>神宗一郎</cp:lastModifiedBy>
  <cp:lastPrinted>2024-07-19T06:21:00Z</cp:lastPrinted>
  <dcterms:modified xsi:type="dcterms:W3CDTF">2024-07-22T06:10:26Z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5C4D6BE274C8450BAC5B66C898AA1C67_13</vt:lpwstr>
  </property>
</Properties>
</file>