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2E14"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抚松县抽水乡人民政府“首违不罚”事项清单</w:t>
      </w:r>
    </w:p>
    <w:tbl>
      <w:tblPr>
        <w:tblStyle w:val="3"/>
        <w:tblW w:w="138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40"/>
        <w:gridCol w:w="2173"/>
        <w:gridCol w:w="1355"/>
        <w:gridCol w:w="3319"/>
        <w:gridCol w:w="4345"/>
        <w:gridCol w:w="1001"/>
      </w:tblGrid>
      <w:tr w14:paraId="17D9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处罚类型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处罚事项名称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首违不罚的情形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首违不罚的依据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3CE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行政处罚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1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损坏村庄和集镇的房屋、公共设施的；乱堆粪便、垃圾、柴草，破坏村容镇貌和环境卫生的处罚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抽水乡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E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乱堆粪便、垃圾、柴草，破坏村容镇貌和环境卫生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情节较轻，在被发现后能在规定时间内处理完毕的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6CED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《村庄和集镇规划建设管理条例》第三十九条：有下列行为之一的，由乡级人民政府责令停止侵害，可以处以罚款；造成损失的，并应当赔偿：</w:t>
            </w:r>
          </w:p>
          <w:p w14:paraId="6A96018D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（一）损坏村庄和集镇的房屋、公共设施的；</w:t>
            </w:r>
          </w:p>
          <w:p w14:paraId="1B5EB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（二）乱堆粪便、垃圾、柴草，破坏村容镇貌和环境卫生的。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CF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7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4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3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ED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55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BB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B0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81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A7D9234"/>
    <w:p w14:paraId="3D1A69F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Y1N2U3ODljZmE1YzZjMTU0NjRmM2M1NjhjMmQifQ=="/>
  </w:docVars>
  <w:rsids>
    <w:rsidRoot w:val="00000000"/>
    <w:rsid w:val="0AD41CDF"/>
    <w:rsid w:val="1C786F89"/>
    <w:rsid w:val="798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262</Characters>
  <Lines>0</Lines>
  <Paragraphs>0</Paragraphs>
  <TotalTime>0</TotalTime>
  <ScaleCrop>false</ScaleCrop>
  <LinksUpToDate>false</LinksUpToDate>
  <CharactersWithSpaces>262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2024-07-25T02:42:00Z</dcterms:created>
  <dc:creator>Administrator</dc:creator>
  <cp:lastModifiedBy>她入我心知我梦，</cp:lastModifiedBy>
  <dcterms:modified xsi:type="dcterms:W3CDTF">2024-07-25T03:14:18Z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444B056509224669A4C422F57EC9CDEF_12</vt:lpwstr>
  </property>
</Properties>
</file>