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7B10F">
      <w:pPr>
        <w:rPr>
          <w:rFonts w:hint="default" w:ascii="Times New Roman" w:hAnsi="Times New Roman" w:cs="Times New Roman"/>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3A3FEDAB">
      <w:pPr>
        <w:pStyle w:val="2"/>
        <w:jc w:val="left"/>
        <w:outlineLvl w:val="9"/>
        <w:rPr>
          <w:rFonts w:hint="default" w:ascii="Times New Roman" w:hAnsi="Times New Roman" w:cs="Times New Roman"/>
          <w:lang w:val="en-US" w:eastAsia="zh-CN"/>
        </w:rPr>
      </w:pPr>
    </w:p>
    <w:p w14:paraId="5F6103F1">
      <w:pPr>
        <w:pStyle w:val="2"/>
        <w:jc w:val="left"/>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2B904DFE">
      <w:pPr>
        <w:rPr>
          <w:rFonts w:hint="default" w:ascii="Times New Roman" w:hAnsi="Times New Roman" w:cs="Times New Roman"/>
          <w:lang w:val="en-US" w:eastAsia="zh-CN"/>
        </w:rPr>
      </w:pPr>
    </w:p>
    <w:p w14:paraId="60F4E0FE">
      <w:pPr>
        <w:pStyle w:val="2"/>
        <w:rPr>
          <w:rFonts w:hint="default" w:ascii="Times New Roman" w:hAnsi="Times New Roman" w:cs="Times New Roman"/>
          <w:lang w:val="en-US" w:eastAsia="zh-CN"/>
        </w:rPr>
      </w:pPr>
    </w:p>
    <w:p w14:paraId="301AB230">
      <w:pPr>
        <w:rPr>
          <w:lang w:eastAsia="zh-CN"/>
        </w:rPr>
      </w:pPr>
    </w:p>
    <w:p w14:paraId="3D9D0577">
      <w:pPr>
        <w:adjustRightInd/>
        <w:snapToGrid/>
        <w:spacing w:before="0" w:beforeLines="0" w:after="0" w:afterLines="0"/>
        <w:jc w:val="center"/>
        <w:rPr>
          <w:rFonts w:hint="eastAsia" w:ascii="方正小标宋_GBK" w:hAnsi="方正小标宋_GBK" w:eastAsia="方正小标宋_GBK" w:cs="方正小标宋_GBK"/>
          <w:b w:val="0"/>
          <w:bCs w:val="0"/>
          <w:snapToGrid/>
          <w:color w:val="auto"/>
          <w:kern w:val="0"/>
          <w:sz w:val="84"/>
          <w:szCs w:val="84"/>
          <w:highlight w:val="none"/>
        </w:rPr>
      </w:pPr>
      <w:r>
        <w:rPr>
          <w:rFonts w:hint="eastAsia" w:ascii="方正小标宋_GBK" w:hAnsi="方正小标宋_GBK" w:eastAsia="方正小标宋_GBK" w:cs="方正小标宋_GBK"/>
          <w:b w:val="0"/>
          <w:bCs w:val="0"/>
          <w:snapToGrid/>
          <w:color w:val="auto"/>
          <w:kern w:val="0"/>
          <w:sz w:val="84"/>
          <w:szCs w:val="84"/>
          <w:highlight w:val="none"/>
        </w:rPr>
        <w:t>吉林省白山市抚松县松江河镇</w:t>
      </w:r>
    </w:p>
    <w:p w14:paraId="708E38AF">
      <w:pPr>
        <w:adjustRightInd/>
        <w:snapToGrid/>
        <w:spacing w:before="0" w:beforeLines="0" w:after="0" w:afterLines="0"/>
        <w:jc w:val="center"/>
        <w:rPr>
          <w:rFonts w:hint="eastAsia" w:ascii="方正小标宋_GBK" w:hAnsi="方正小标宋_GBK" w:eastAsia="方正小标宋_GBK" w:cs="方正小标宋_GBK"/>
          <w:b w:val="0"/>
          <w:bCs w:val="0"/>
          <w:snapToGrid/>
          <w:color w:val="auto"/>
          <w:kern w:val="0"/>
          <w:sz w:val="84"/>
          <w:szCs w:val="84"/>
          <w:highlight w:val="none"/>
        </w:rPr>
      </w:pPr>
      <w:r>
        <w:rPr>
          <w:rFonts w:hint="eastAsia" w:ascii="方正小标宋_GBK" w:hAnsi="方正小标宋_GBK" w:eastAsia="方正小标宋_GBK" w:cs="方正小标宋_GBK"/>
          <w:b w:val="0"/>
          <w:bCs w:val="0"/>
          <w:snapToGrid/>
          <w:color w:val="auto"/>
          <w:kern w:val="0"/>
          <w:sz w:val="84"/>
          <w:szCs w:val="84"/>
          <w:highlight w:val="none"/>
        </w:rPr>
        <w:t>人民政府履行职责事项清单</w:t>
      </w:r>
    </w:p>
    <w:p w14:paraId="05EC91B5">
      <w:pPr>
        <w:rPr>
          <w:rFonts w:ascii="方正公文小标宋" w:eastAsia="方正公文小标宋"/>
          <w:color w:val="auto"/>
          <w:sz w:val="84"/>
          <w:szCs w:val="84"/>
          <w:highlight w:val="none"/>
          <w:lang w:eastAsia="zh-CN"/>
        </w:rPr>
      </w:pPr>
    </w:p>
    <w:p w14:paraId="54817C2C">
      <w:pPr>
        <w:rPr>
          <w:rFonts w:ascii="方正公文小标宋" w:eastAsia="方正公文小标宋"/>
          <w:color w:val="auto"/>
          <w:sz w:val="84"/>
          <w:szCs w:val="84"/>
          <w:highlight w:val="none"/>
          <w:lang w:eastAsia="zh-CN"/>
        </w:rPr>
      </w:pPr>
    </w:p>
    <w:p w14:paraId="3F94E235">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b w:val="0"/>
          <w:bCs/>
          <w:snapToGrid w:val="0"/>
          <w:color w:val="auto"/>
          <w:kern w:val="44"/>
          <w:sz w:val="44"/>
          <w:szCs w:val="44"/>
          <w:highlight w:val="none"/>
          <w:lang w:val="en-US" w:eastAsia="zh-CN" w:bidi="ar-SA"/>
        </w:rPr>
        <w:sectPr>
          <w:pgSz w:w="16837" w:h="11905" w:orient="landscape"/>
          <w:pgMar w:top="1418" w:right="1418" w:bottom="1418" w:left="1418" w:header="851" w:footer="907" w:gutter="0"/>
          <w:pgNumType w:start="1"/>
          <w:cols w:space="720" w:num="1"/>
          <w:docGrid w:linePitch="312" w:charSpace="0"/>
        </w:sectPr>
      </w:pPr>
      <w:bookmarkStart w:id="0" w:name="_Toc479172177"/>
      <w:bookmarkStart w:id="1" w:name="_Toc172077551"/>
      <w:bookmarkStart w:id="2" w:name="_Toc172077949"/>
      <w:bookmarkStart w:id="3" w:name="_Toc172077416"/>
    </w:p>
    <w:p w14:paraId="2C8CF149">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pPr>
      <w:r>
        <w:rPr>
          <w:rFonts w:hint="eastAsia" w:ascii="方正小标宋_GBK" w:hAnsi="方正小标宋_GBK" w:eastAsia="方正小标宋_GBK" w:cs="方正小标宋_GBK"/>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177576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B7D">
            <w:pPr>
              <w:jc w:val="center"/>
              <w:textAlignment w:val="center"/>
              <w:rPr>
                <w:rFonts w:ascii="Times New Roman" w:hAnsi="Times New Roman" w:eastAsia="方正公文黑体"/>
                <w:i w:val="0"/>
                <w:iCs w:val="0"/>
                <w:color w:val="auto"/>
                <w:highlight w:val="none"/>
              </w:rPr>
            </w:pPr>
            <w:r>
              <w:rPr>
                <w:rFonts w:ascii="Times New Roman" w:hAnsi="Times New Roman" w:eastAsia="方正公文黑体"/>
                <w:i w:val="0"/>
                <w:iCs w:val="0"/>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F1DE">
            <w:pPr>
              <w:jc w:val="center"/>
              <w:textAlignment w:val="center"/>
              <w:rPr>
                <w:rFonts w:ascii="Times New Roman" w:hAnsi="Times New Roman" w:eastAsia="方正公文黑体"/>
                <w:i w:val="0"/>
                <w:iCs w:val="0"/>
                <w:color w:val="auto"/>
                <w:highlight w:val="none"/>
                <w:lang w:eastAsia="zh-CN"/>
              </w:rPr>
            </w:pPr>
            <w:r>
              <w:rPr>
                <w:rFonts w:hint="eastAsia" w:ascii="Times New Roman" w:hAnsi="Times New Roman" w:eastAsia="方正公文黑体"/>
                <w:i w:val="0"/>
                <w:iCs w:val="0"/>
                <w:color w:val="auto"/>
                <w:highlight w:val="none"/>
                <w:lang w:eastAsia="zh-CN" w:bidi="ar"/>
              </w:rPr>
              <w:t>事项</w:t>
            </w:r>
            <w:r>
              <w:rPr>
                <w:rFonts w:ascii="Times New Roman" w:hAnsi="Times New Roman" w:eastAsia="方正公文黑体"/>
                <w:i w:val="0"/>
                <w:iCs w:val="0"/>
                <w:color w:val="auto"/>
                <w:highlight w:val="none"/>
                <w:lang w:eastAsia="zh-CN" w:bidi="ar"/>
              </w:rPr>
              <w:t>名称</w:t>
            </w:r>
          </w:p>
        </w:tc>
      </w:tr>
      <w:tr w14:paraId="6E40EB5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FDF02">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一、党的建设（2</w:t>
            </w:r>
            <w:r>
              <w:rPr>
                <w:rStyle w:val="16"/>
                <w:rFonts w:hint="eastAsia" w:ascii="Times New Roman" w:hAnsi="方正公文黑体" w:eastAsia="方正公文黑体"/>
                <w:i w:val="0"/>
                <w:iCs w:val="0"/>
                <w:color w:val="auto"/>
                <w:highlight w:val="none"/>
                <w:lang w:val="en-US" w:eastAsia="zh-CN" w:bidi="ar"/>
              </w:rPr>
              <w:t>6</w:t>
            </w:r>
            <w:r>
              <w:rPr>
                <w:rStyle w:val="16"/>
                <w:rFonts w:hint="eastAsia" w:ascii="Times New Roman" w:hAnsi="方正公文黑体" w:eastAsia="方正公文黑体"/>
                <w:i w:val="0"/>
                <w:iCs w:val="0"/>
                <w:color w:val="auto"/>
                <w:highlight w:val="none"/>
                <w:lang w:bidi="ar"/>
              </w:rPr>
              <w:t>项）</w:t>
            </w:r>
          </w:p>
        </w:tc>
      </w:tr>
      <w:tr w14:paraId="281B49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659F">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CBA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50AD61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ED7">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CDB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664016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20DF">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231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03AA22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732">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FDA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落实党代会年会制和党代表任期制，负责党代会筹备召开、党代表选举等工作，推动党员代表在辖区内履职，办理党代表意见建议。</w:t>
            </w:r>
          </w:p>
        </w:tc>
      </w:tr>
      <w:tr w14:paraId="6AE054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954">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FC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0B7B60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FBB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F17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坚持党管人才原则，开展人才政策宣传，建立人才信息库，培养、使用、服务各领域优秀人才。</w:t>
            </w:r>
          </w:p>
        </w:tc>
      </w:tr>
      <w:tr w14:paraId="2B01CF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29F">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8C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加强党组织阵地建设，建设党群服务中心，建立各类党员教育阵地，创建特色党建品牌，组织农村（社区）、“两企三新”规范开展党建工作。</w:t>
            </w:r>
          </w:p>
        </w:tc>
      </w:tr>
      <w:tr w14:paraId="2E9106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E94">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415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加强老干部服务保障，保障老干部待遇，组织老干部开展思想政治教育、文体活动，关心关爱老干部。</w:t>
            </w:r>
          </w:p>
        </w:tc>
      </w:tr>
      <w:tr w14:paraId="3FB0D130">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10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068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i w:val="0"/>
                <w:iCs w:val="0"/>
                <w:color w:val="auto"/>
                <w:kern w:val="0"/>
                <w:szCs w:val="21"/>
                <w:highlight w:val="none"/>
                <w:lang w:val="en-US" w:eastAsia="zh-CN" w:bidi="ar"/>
              </w:rPr>
              <w:t>教育</w:t>
            </w:r>
            <w:r>
              <w:rPr>
                <w:rFonts w:hint="eastAsia" w:ascii="Times New Roman" w:hAnsi="方正公文仿宋" w:eastAsia="方正公文仿宋"/>
                <w:i w:val="0"/>
                <w:iCs w:val="0"/>
                <w:color w:val="auto"/>
                <w:kern w:val="0"/>
                <w:szCs w:val="21"/>
                <w:highlight w:val="none"/>
                <w:lang w:bidi="ar"/>
              </w:rPr>
              <w:t>、警示教育等工作。</w:t>
            </w:r>
          </w:p>
        </w:tc>
      </w:tr>
      <w:tr w14:paraId="200A3D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65F">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bidi="ar"/>
              </w:rPr>
              <w:t>1</w:t>
            </w:r>
            <w:r>
              <w:rPr>
                <w:rFonts w:hint="eastAsia" w:ascii="Times New Roman" w:hAnsi="方正公文仿宋" w:eastAsia="方正公文仿宋"/>
                <w:i w:val="0"/>
                <w:iCs w:val="0"/>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4B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落实纪委监督责任，推动镇、村两级监督体系建设，推进集中整治工作，监督巡视巡察反馈问题整改情况。</w:t>
            </w:r>
          </w:p>
        </w:tc>
      </w:tr>
      <w:tr w14:paraId="402A39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AA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C3B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常态化开展监督执纪问责，负责纪检监察干部队伍的管理、培训，按干部管理权限，依法依纪办理纪检监察案件。</w:t>
            </w:r>
          </w:p>
        </w:tc>
      </w:tr>
      <w:tr w14:paraId="4FDD43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B712">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bidi="ar"/>
              </w:rPr>
              <w:t>1</w:t>
            </w:r>
            <w:r>
              <w:rPr>
                <w:rFonts w:hint="eastAsia" w:ascii="Times New Roman" w:hAnsi="方正公文仿宋" w:eastAsia="方正公文仿宋"/>
                <w:i w:val="0"/>
                <w:iCs w:val="0"/>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72E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弘扬社会主义核心价值观，建设管理新时代文明实践所（站）、文明村镇，开展精神文明创建活动，推进移风易俗，推荐各类先进典型。</w:t>
            </w:r>
          </w:p>
        </w:tc>
      </w:tr>
      <w:tr w14:paraId="48962D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34E">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bidi="ar"/>
              </w:rPr>
              <w:t>1</w:t>
            </w:r>
            <w:r>
              <w:rPr>
                <w:rFonts w:hint="eastAsia" w:ascii="Times New Roman" w:hAnsi="方正公文仿宋" w:eastAsia="方正公文仿宋"/>
                <w:i w:val="0"/>
                <w:iCs w:val="0"/>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1D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管理运营镇、村（社区）媒体号，开展思想政治教育、新闻宣传、征订报刊等工作。</w:t>
            </w:r>
          </w:p>
        </w:tc>
      </w:tr>
      <w:tr w14:paraId="4A2550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118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7B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i w:val="0"/>
                <w:iCs w:val="0"/>
                <w:color w:val="auto"/>
                <w:kern w:val="0"/>
                <w:szCs w:val="21"/>
                <w:highlight w:val="none"/>
                <w:lang w:val="en-US" w:eastAsia="zh-CN" w:bidi="ar"/>
              </w:rPr>
              <w:t>等工作</w:t>
            </w:r>
            <w:r>
              <w:rPr>
                <w:rFonts w:hint="eastAsia" w:ascii="Times New Roman" w:hAnsi="方正公文仿宋" w:eastAsia="方正公文仿宋"/>
                <w:i w:val="0"/>
                <w:iCs w:val="0"/>
                <w:color w:val="auto"/>
                <w:kern w:val="0"/>
                <w:szCs w:val="21"/>
                <w:highlight w:val="none"/>
                <w:lang w:bidi="ar"/>
              </w:rPr>
              <w:t>。</w:t>
            </w:r>
          </w:p>
        </w:tc>
      </w:tr>
      <w:tr w14:paraId="0A361E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24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B0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i w:val="0"/>
                <w:iCs w:val="0"/>
                <w:color w:val="auto"/>
                <w:kern w:val="0"/>
                <w:szCs w:val="21"/>
                <w:highlight w:val="none"/>
                <w:lang w:eastAsia="zh-CN" w:bidi="ar"/>
              </w:rPr>
              <w:t>之</w:t>
            </w:r>
            <w:r>
              <w:rPr>
                <w:rFonts w:hint="eastAsia" w:ascii="Times New Roman" w:hAnsi="方正公文仿宋" w:eastAsia="方正公文仿宋"/>
                <w:i w:val="0"/>
                <w:iCs w:val="0"/>
                <w:color w:val="auto"/>
                <w:kern w:val="0"/>
                <w:szCs w:val="21"/>
                <w:highlight w:val="none"/>
                <w:lang w:bidi="ar"/>
              </w:rPr>
              <w:t>家（站），支持服务人大代表在辖区内履职，开展人大代表议案建议的征集、办理工作。</w:t>
            </w:r>
          </w:p>
        </w:tc>
      </w:tr>
      <w:tr w14:paraId="7C1D9B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81F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A4D1">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落实政治协商工作制度，推荐上级政协委员人选，支持服务政协委员在辖区内履职，办理、答复政协提案建议。</w:t>
            </w:r>
          </w:p>
        </w:tc>
      </w:tr>
      <w:tr w14:paraId="4B1DF2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F16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5C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维护保障职工权益，指导辖区企事业单位组建工会，按期组织换届，加强工会阵地建设，开展文体活动、关怀慰问、管理使用会费等工作。</w:t>
            </w:r>
          </w:p>
        </w:tc>
      </w:tr>
      <w:tr w14:paraId="6E71CE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3ED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F4D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负责辖区共青团组织建设、阵地建设，按期组织团委换届，负责团员教育管理服务，组织开展各类团组织活动，管理、使用团费。</w:t>
            </w:r>
          </w:p>
        </w:tc>
      </w:tr>
      <w:tr w14:paraId="79C801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24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3FC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52D7F6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3A3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6B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开展关心下一代工作，收集本辖区“五老”人员信息，组织“五老”人员参与志愿服务活动。</w:t>
            </w:r>
          </w:p>
        </w:tc>
      </w:tr>
      <w:tr w14:paraId="2AD6EE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02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1B1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负责辖区残联组织建设，按期组织换届，宣传关心关爱残疾人政策。</w:t>
            </w:r>
          </w:p>
        </w:tc>
      </w:tr>
      <w:tr w14:paraId="3859E9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E94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E65">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坚持落实党管武装，负责民兵、征兵、战略物资储备等工作。</w:t>
            </w:r>
          </w:p>
        </w:tc>
      </w:tr>
      <w:tr w14:paraId="6895F4A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6AAB8">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二、经济发展（8项）</w:t>
            </w:r>
          </w:p>
        </w:tc>
      </w:tr>
      <w:tr w14:paraId="497556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109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98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谋划推动镇域经济高质量发展，负责起草</w:t>
            </w:r>
            <w:r>
              <w:rPr>
                <w:rFonts w:hint="eastAsia" w:ascii="Times New Roman" w:hAnsi="方正公文仿宋" w:eastAsia="方正公文仿宋"/>
                <w:i w:val="0"/>
                <w:iCs w:val="0"/>
                <w:color w:val="auto"/>
                <w:kern w:val="0"/>
                <w:szCs w:val="21"/>
                <w:highlight w:val="none"/>
                <w:lang w:eastAsia="zh-CN" w:bidi="ar"/>
              </w:rPr>
              <w:t>域内</w:t>
            </w:r>
            <w:r>
              <w:rPr>
                <w:rFonts w:hint="eastAsia" w:ascii="Times New Roman" w:hAnsi="方正公文仿宋" w:eastAsia="方正公文仿宋"/>
                <w:i w:val="0"/>
                <w:iCs w:val="0"/>
                <w:color w:val="auto"/>
                <w:kern w:val="0"/>
                <w:szCs w:val="21"/>
                <w:highlight w:val="none"/>
                <w:lang w:bidi="ar"/>
              </w:rPr>
              <w:t>经济发展规划、编制</w:t>
            </w:r>
            <w:r>
              <w:rPr>
                <w:rFonts w:hint="eastAsia" w:ascii="Times New Roman" w:hAnsi="方正公文仿宋" w:eastAsia="方正公文仿宋"/>
                <w:i w:val="0"/>
                <w:iCs w:val="0"/>
                <w:color w:val="auto"/>
                <w:kern w:val="0"/>
                <w:szCs w:val="21"/>
                <w:highlight w:val="none"/>
                <w:lang w:val="en-US" w:eastAsia="zh-CN" w:bidi="ar"/>
              </w:rPr>
              <w:t>本镇</w:t>
            </w:r>
            <w:r>
              <w:rPr>
                <w:rFonts w:hint="eastAsia" w:ascii="Times New Roman" w:hAnsi="方正公文仿宋" w:eastAsia="方正公文仿宋"/>
                <w:i w:val="0"/>
                <w:iCs w:val="0"/>
                <w:color w:val="auto"/>
                <w:kern w:val="0"/>
                <w:szCs w:val="21"/>
                <w:highlight w:val="none"/>
                <w:lang w:bidi="ar"/>
              </w:rPr>
              <w:t>建设发展规划、域内经济和社会发展情况统计、动态分析等工作。</w:t>
            </w:r>
          </w:p>
        </w:tc>
      </w:tr>
      <w:tr w14:paraId="788BEA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A2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0A1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优化乡域营商环境，宣传企业扶持政策，推进企业入规、服务企业发展和项目建设，摸排固定资产项目，加强信用体系建设，服务民营经济发展。</w:t>
            </w:r>
          </w:p>
        </w:tc>
      </w:tr>
      <w:tr w14:paraId="2F21B5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CA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EEC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强化招商引资，负责宣传镇域产业特色及地域优势、引进招商引资项目，推进旅游产业相关项目建设，为企业提供领办代办服务等工作。</w:t>
            </w:r>
          </w:p>
        </w:tc>
      </w:tr>
      <w:tr w14:paraId="5E1D08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A6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24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负责政府投资项目的谋划、建设、交接、保障等后续工作，推进松江河大街提升等建设项目。</w:t>
            </w:r>
          </w:p>
        </w:tc>
      </w:tr>
      <w:tr w14:paraId="095076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DA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660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负责经济普查、人口普查、农业普查。</w:t>
            </w:r>
          </w:p>
        </w:tc>
      </w:tr>
      <w:tr w14:paraId="11F0DD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C9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4C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负责统计工作队伍和阵地建设，承担统计法律法规宣传、日常统计、涉农统计、专项调查和抽样调查等工作。</w:t>
            </w:r>
          </w:p>
        </w:tc>
      </w:tr>
      <w:tr w14:paraId="41ADD8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0D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5ED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发展壮大村级集体经济，申报、管理产业项目，培育农民专业合作社、新型农业经营主体。</w:t>
            </w:r>
          </w:p>
        </w:tc>
      </w:tr>
      <w:tr w14:paraId="302189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20C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FC7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负责农村集体“三资”管理，提供农村集体经济组织“三资”财务委托代理服务，开展“三资”专项整治整改工作。</w:t>
            </w:r>
          </w:p>
        </w:tc>
      </w:tr>
      <w:tr w14:paraId="5376B5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78C08">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三、民生服务（1</w:t>
            </w:r>
            <w:r>
              <w:rPr>
                <w:rStyle w:val="16"/>
                <w:rFonts w:hint="eastAsia" w:ascii="Times New Roman" w:hAnsi="方正公文黑体" w:eastAsia="方正公文黑体"/>
                <w:i w:val="0"/>
                <w:iCs w:val="0"/>
                <w:color w:val="auto"/>
                <w:highlight w:val="none"/>
                <w:lang w:val="en-US" w:eastAsia="zh-CN" w:bidi="ar"/>
              </w:rPr>
              <w:t>1</w:t>
            </w:r>
            <w:r>
              <w:rPr>
                <w:rStyle w:val="16"/>
                <w:rFonts w:hint="eastAsia" w:ascii="Times New Roman" w:hAnsi="方正公文黑体" w:eastAsia="方正公文黑体"/>
                <w:i w:val="0"/>
                <w:iCs w:val="0"/>
                <w:color w:val="auto"/>
                <w:highlight w:val="none"/>
                <w:lang w:bidi="ar"/>
              </w:rPr>
              <w:t>项）</w:t>
            </w:r>
          </w:p>
        </w:tc>
      </w:tr>
      <w:tr w14:paraId="4F97AC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D7D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CB5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负责便民服务中心（站）标准化建设工作，落实“最多跑一次”改革、“高效办成一件事”政策，公开管理制度、办事指南，领办代办村民服务事项。</w:t>
            </w:r>
          </w:p>
        </w:tc>
      </w:tr>
      <w:tr w14:paraId="25D591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604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C0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6EA179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231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D0D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i w:val="0"/>
                <w:iCs w:val="0"/>
                <w:color w:val="auto"/>
                <w:kern w:val="0"/>
                <w:szCs w:val="21"/>
                <w:highlight w:val="none"/>
                <w:lang w:val="en-US" w:eastAsia="zh-CN" w:bidi="ar"/>
              </w:rPr>
              <w:t>的</w:t>
            </w:r>
            <w:r>
              <w:rPr>
                <w:rFonts w:hint="eastAsia" w:ascii="Times New Roman" w:hAnsi="方正公文仿宋" w:eastAsia="方正公文仿宋"/>
                <w:i w:val="0"/>
                <w:iCs w:val="0"/>
                <w:color w:val="auto"/>
                <w:kern w:val="0"/>
                <w:szCs w:val="21"/>
                <w:highlight w:val="none"/>
                <w:lang w:bidi="ar"/>
              </w:rPr>
              <w:t>对象提供临时救助，监测特困供养人群信息变化情况，经办特困供养业务，动态调整救助待遇。</w:t>
            </w:r>
          </w:p>
        </w:tc>
      </w:tr>
      <w:tr w14:paraId="05D93A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905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D8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52503B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91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62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负责城乡居民基本医疗保险政策宣传、参保登记和人员信息变更等工作。</w:t>
            </w:r>
          </w:p>
        </w:tc>
      </w:tr>
      <w:tr w14:paraId="485E47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2A0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15A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负责城乡居民基本养老保险宣传、参保登记、待遇申领、初审、补缴、信息变更等经办服务。</w:t>
            </w:r>
          </w:p>
        </w:tc>
      </w:tr>
      <w:tr w14:paraId="14B37F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CCF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C9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247FBD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F36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rPr>
            </w:pPr>
            <w:r>
              <w:rPr>
                <w:rFonts w:hint="eastAsia" w:ascii="Times New Roman" w:hAnsi="方正公文仿宋" w:eastAsia="方正公文仿宋"/>
                <w:i w:val="0"/>
                <w:iCs w:val="0"/>
                <w:color w:val="auto"/>
                <w:kern w:val="0"/>
                <w:szCs w:val="21"/>
                <w:highlight w:val="none"/>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5F3">
            <w:pPr>
              <w:widowControl/>
              <w:kinsoku/>
              <w:spacing w:before="0" w:beforeLines="0" w:after="0" w:afterLines="0"/>
              <w:textAlignment w:val="auto"/>
              <w:rPr>
                <w:rFonts w:hint="eastAsia" w:ascii="Times New Roman" w:hAnsi="方正公文仿宋" w:eastAsia="方正公文仿宋"/>
                <w:i w:val="0"/>
                <w:iCs w:val="0"/>
                <w:color w:val="auto"/>
                <w:szCs w:val="21"/>
                <w:highlight w:val="none"/>
                <w:lang w:eastAsia="zh-CN"/>
              </w:rPr>
            </w:pPr>
            <w:r>
              <w:rPr>
                <w:rFonts w:hint="eastAsia" w:ascii="Times New Roman" w:hAnsi="方正公文仿宋" w:eastAsia="方正公文仿宋"/>
                <w:i w:val="0"/>
                <w:iCs w:val="0"/>
                <w:color w:val="auto"/>
                <w:kern w:val="0"/>
                <w:szCs w:val="21"/>
                <w:highlight w:val="none"/>
                <w:lang w:bidi="ar"/>
              </w:rPr>
              <w:t>负责退役军人思想政治教育，</w:t>
            </w:r>
            <w:r>
              <w:rPr>
                <w:rFonts w:hint="eastAsia" w:ascii="Times New Roman" w:hAnsi="方正公文仿宋" w:eastAsia="方正公文仿宋"/>
                <w:i w:val="0"/>
                <w:iCs w:val="0"/>
                <w:color w:val="auto"/>
                <w:kern w:val="0"/>
                <w:szCs w:val="21"/>
                <w:highlight w:val="none"/>
                <w:lang w:val="en-US" w:eastAsia="zh-CN" w:bidi="ar"/>
              </w:rPr>
              <w:t>做好</w:t>
            </w:r>
            <w:r>
              <w:rPr>
                <w:rFonts w:hint="eastAsia" w:ascii="Times New Roman" w:hAnsi="方正公文仿宋" w:eastAsia="方正公文仿宋"/>
                <w:i w:val="0"/>
                <w:iCs w:val="0"/>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i w:val="0"/>
                <w:iCs w:val="0"/>
                <w:color w:val="auto"/>
                <w:kern w:val="0"/>
                <w:szCs w:val="21"/>
                <w:highlight w:val="none"/>
                <w:lang w:val="en-US" w:eastAsia="zh-CN" w:bidi="ar"/>
              </w:rPr>
              <w:t>等工作。</w:t>
            </w:r>
          </w:p>
        </w:tc>
      </w:tr>
      <w:tr w14:paraId="7B430F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97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C0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3D60FA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44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132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负责落实积极生育政策，支持学前教育发展，未成年人权益维护等</w:t>
            </w:r>
            <w:r>
              <w:rPr>
                <w:rFonts w:hint="eastAsia" w:ascii="Times New Roman" w:hAnsi="方正公文仿宋" w:eastAsia="方正公文仿宋"/>
                <w:i w:val="0"/>
                <w:iCs w:val="0"/>
                <w:color w:val="auto"/>
                <w:kern w:val="0"/>
                <w:szCs w:val="21"/>
                <w:highlight w:val="none"/>
                <w:lang w:val="en-US" w:eastAsia="zh-CN" w:bidi="ar"/>
              </w:rPr>
              <w:t>工作</w:t>
            </w:r>
            <w:r>
              <w:rPr>
                <w:rFonts w:hint="eastAsia" w:ascii="Times New Roman" w:hAnsi="方正公文仿宋" w:eastAsia="方正公文仿宋"/>
                <w:i w:val="0"/>
                <w:iCs w:val="0"/>
                <w:color w:val="auto"/>
                <w:kern w:val="0"/>
                <w:szCs w:val="21"/>
                <w:highlight w:val="none"/>
                <w:lang w:bidi="ar"/>
              </w:rPr>
              <w:t>。</w:t>
            </w:r>
          </w:p>
        </w:tc>
      </w:tr>
      <w:tr w14:paraId="7E62E51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4DE6">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四、平安法治（</w:t>
            </w:r>
            <w:r>
              <w:rPr>
                <w:rStyle w:val="16"/>
                <w:rFonts w:hint="eastAsia" w:ascii="Times New Roman" w:hAnsi="方正公文黑体" w:eastAsia="方正公文黑体"/>
                <w:i w:val="0"/>
                <w:iCs w:val="0"/>
                <w:color w:val="auto"/>
                <w:highlight w:val="none"/>
                <w:lang w:val="en-US" w:eastAsia="zh-CN" w:bidi="ar"/>
              </w:rPr>
              <w:t>9</w:t>
            </w:r>
            <w:r>
              <w:rPr>
                <w:rStyle w:val="16"/>
                <w:rFonts w:hint="eastAsia" w:ascii="Times New Roman" w:hAnsi="方正公文黑体" w:eastAsia="方正公文黑体"/>
                <w:i w:val="0"/>
                <w:iCs w:val="0"/>
                <w:color w:val="auto"/>
                <w:highlight w:val="none"/>
                <w:lang w:bidi="ar"/>
              </w:rPr>
              <w:t>项）</w:t>
            </w:r>
          </w:p>
        </w:tc>
      </w:tr>
      <w:tr w14:paraId="5943E0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E1B">
            <w:pPr>
              <w:widowControl/>
              <w:kinsoku/>
              <w:spacing w:before="0" w:beforeLines="0" w:after="0" w:afterLines="0"/>
              <w:jc w:val="center"/>
              <w:textAlignment w:val="center"/>
              <w:rPr>
                <w:rFonts w:hint="eastAsia"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bidi="ar"/>
              </w:rPr>
              <w:t>4</w:t>
            </w:r>
            <w:r>
              <w:rPr>
                <w:rFonts w:hint="eastAsia" w:ascii="Times New Roman" w:hAnsi="方正公文仿宋" w:eastAsia="方正公文仿宋"/>
                <w:i w:val="0"/>
                <w:iCs w:val="0"/>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11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推进法治政府建设，组建“法律明白人”队伍，开展普法宣传教育，推进法治文化阵地、法律公共服务平台建设。</w:t>
            </w:r>
          </w:p>
        </w:tc>
      </w:tr>
      <w:tr w14:paraId="494749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22E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7D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i w:val="0"/>
                <w:iCs w:val="0"/>
                <w:color w:val="auto"/>
                <w:kern w:val="0"/>
                <w:szCs w:val="21"/>
                <w:highlight w:val="none"/>
                <w:lang w:bidi="ar"/>
              </w:rPr>
              <w:t>宣传教育禁毒知识，排查、上报吸毒人员和非法种植毒品原植物。</w:t>
            </w:r>
          </w:p>
        </w:tc>
      </w:tr>
      <w:tr w14:paraId="10D3139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7A1FF">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五、乡村振兴（13项）</w:t>
            </w:r>
          </w:p>
        </w:tc>
      </w:tr>
      <w:tr w14:paraId="0B8E15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AB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43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19CE2D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1D1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F9B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1F8492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677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65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393C99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9E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AE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1EB814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16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FA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51DE6B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721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69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714A3E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5BA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01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1398FF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0BA">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582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05F8A9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1D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105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73FFD9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0AD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BE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75207E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6C3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4A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1F3BEF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623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B157">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11703A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6F1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ED2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289FA78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BD2AA">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六、社会管理（4项）</w:t>
            </w:r>
          </w:p>
        </w:tc>
      </w:tr>
      <w:tr w14:paraId="1845B6DF">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9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E8C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086826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D1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801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44B890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68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C5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1943F4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AE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BE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294DF856">
        <w:tblPrEx>
          <w:tblCellMar>
            <w:top w:w="0" w:type="dxa"/>
            <w:left w:w="108" w:type="dxa"/>
            <w:bottom w:w="0" w:type="dxa"/>
            <w:right w:w="108" w:type="dxa"/>
          </w:tblCellMar>
        </w:tblPrEx>
        <w:trPr>
          <w:cantSplit/>
          <w:trHeight w:val="76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AB2E9">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
              </w:rPr>
            </w:pPr>
            <w:r>
              <w:rPr>
                <w:rStyle w:val="16"/>
                <w:rFonts w:hint="eastAsia" w:ascii="Times New Roman" w:hAnsi="方正公文黑体" w:eastAsia="方正公文黑体"/>
                <w:i w:val="0"/>
                <w:iCs w:val="0"/>
                <w:color w:val="auto"/>
                <w:highlight w:val="none"/>
                <w:lang w:bidi="ar"/>
              </w:rPr>
              <w:t>七、</w:t>
            </w:r>
            <w:r>
              <w:rPr>
                <w:rStyle w:val="16"/>
                <w:rFonts w:hint="eastAsia" w:ascii="Times New Roman" w:hAnsi="方正公文黑体" w:eastAsia="方正公文黑体"/>
                <w:i w:val="0"/>
                <w:iCs w:val="0"/>
                <w:color w:val="auto"/>
                <w:highlight w:val="none"/>
                <w:lang w:eastAsia="zh-CN" w:bidi="ar"/>
              </w:rPr>
              <w:t>安全稳定</w:t>
            </w:r>
            <w:r>
              <w:rPr>
                <w:rStyle w:val="16"/>
                <w:rFonts w:hint="eastAsia" w:ascii="Times New Roman" w:hAnsi="方正公文黑体" w:eastAsia="方正公文黑体"/>
                <w:i w:val="0"/>
                <w:iCs w:val="0"/>
                <w:color w:val="auto"/>
                <w:highlight w:val="none"/>
                <w:lang w:bidi="ar"/>
              </w:rPr>
              <w:t>（</w:t>
            </w:r>
            <w:r>
              <w:rPr>
                <w:rStyle w:val="16"/>
                <w:rFonts w:hint="eastAsia" w:ascii="Times New Roman" w:hAnsi="方正公文黑体" w:eastAsia="方正公文黑体"/>
                <w:i w:val="0"/>
                <w:iCs w:val="0"/>
                <w:color w:val="auto"/>
                <w:highlight w:val="none"/>
                <w:lang w:val="en-US" w:eastAsia="zh-CN" w:bidi="ar"/>
              </w:rPr>
              <w:t>7</w:t>
            </w:r>
            <w:r>
              <w:rPr>
                <w:rStyle w:val="16"/>
                <w:rFonts w:hint="eastAsia" w:ascii="Times New Roman" w:hAnsi="方正公文黑体" w:eastAsia="方正公文黑体"/>
                <w:i w:val="0"/>
                <w:iCs w:val="0"/>
                <w:color w:val="auto"/>
                <w:highlight w:val="none"/>
                <w:lang w:bidi="ar"/>
              </w:rPr>
              <w:t>项）</w:t>
            </w:r>
          </w:p>
        </w:tc>
      </w:tr>
      <w:tr w14:paraId="5737AC8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20AC4">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eastAsia="zh-CN" w:bidi="ar"/>
              </w:rPr>
              <w:t>八</w:t>
            </w:r>
            <w:r>
              <w:rPr>
                <w:rStyle w:val="16"/>
                <w:rFonts w:hint="eastAsia" w:ascii="Times New Roman" w:hAnsi="方正公文黑体" w:eastAsia="方正公文黑体"/>
                <w:i w:val="0"/>
                <w:iCs w:val="0"/>
                <w:color w:val="auto"/>
                <w:highlight w:val="none"/>
                <w:lang w:bidi="ar"/>
              </w:rPr>
              <w:t>、生态环保（7项）</w:t>
            </w:r>
          </w:p>
        </w:tc>
      </w:tr>
      <w:tr w14:paraId="1A83EB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64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3D7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101D97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4D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D9E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703F4F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2A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CFF">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3FD302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2E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CF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0D97E5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102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A5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5CBE7C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6F6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C71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5D8CBF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6F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064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负责镇域环境卫生和保洁工作，承担政策宣传、垃圾清运、冬季清雪等工作。</w:t>
            </w:r>
          </w:p>
        </w:tc>
      </w:tr>
      <w:tr w14:paraId="749D26E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43D00">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eastAsia="zh-CN" w:bidi="ar"/>
              </w:rPr>
              <w:t>九</w:t>
            </w:r>
            <w:r>
              <w:rPr>
                <w:rStyle w:val="16"/>
                <w:rFonts w:hint="eastAsia" w:ascii="Times New Roman" w:hAnsi="方正公文黑体" w:eastAsia="方正公文黑体"/>
                <w:i w:val="0"/>
                <w:iCs w:val="0"/>
                <w:color w:val="auto"/>
                <w:highlight w:val="none"/>
                <w:lang w:bidi="ar"/>
              </w:rPr>
              <w:t>、城乡建设（3项）</w:t>
            </w:r>
          </w:p>
        </w:tc>
      </w:tr>
      <w:tr w14:paraId="29CA51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578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10B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维护镇域内基础设施，开展城镇绿化亮化，打造景观小品和街角公园。</w:t>
            </w:r>
          </w:p>
        </w:tc>
      </w:tr>
      <w:tr w14:paraId="0B0042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78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67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宣传国有土地上房屋征收政策，开展房屋征收、回迁安置工作。</w:t>
            </w:r>
          </w:p>
        </w:tc>
      </w:tr>
      <w:tr w14:paraId="6D9093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6FD7">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5DA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负责镇域内镇容镇貌管理工作，巡查上报违法建设行为，规范管理牌匾、流动摊贩和渣土车辆，处置僵尸车和违规堆放建筑垃圾行为。</w:t>
            </w:r>
          </w:p>
        </w:tc>
      </w:tr>
      <w:tr w14:paraId="251F51E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1EFF">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十、文化和旅游（2项）</w:t>
            </w:r>
          </w:p>
        </w:tc>
      </w:tr>
      <w:tr w14:paraId="3B168E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01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763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4272D5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CF0">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D86C">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2E2D942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0CD0C">
            <w:pPr>
              <w:widowControl/>
              <w:spacing w:before="0" w:beforeLines="0" w:after="0" w:afterLines="0"/>
              <w:jc w:val="left"/>
              <w:textAlignment w:val="auto"/>
              <w:rPr>
                <w:rFonts w:hint="eastAsia" w:ascii="Times New Roman" w:hAnsi="方正公文黑体" w:eastAsia="方正公文黑体"/>
                <w:i w:val="0"/>
                <w:iCs w:val="0"/>
                <w:color w:val="auto"/>
                <w:szCs w:val="21"/>
                <w:highlight w:val="none"/>
              </w:rPr>
            </w:pPr>
            <w:r>
              <w:rPr>
                <w:rStyle w:val="16"/>
                <w:rFonts w:hint="eastAsia" w:ascii="Times New Roman" w:hAnsi="方正公文黑体" w:eastAsia="方正公文黑体"/>
                <w:i w:val="0"/>
                <w:iCs w:val="0"/>
                <w:color w:val="auto"/>
                <w:highlight w:val="none"/>
                <w:lang w:bidi="ar"/>
              </w:rPr>
              <w:t>十</w:t>
            </w:r>
            <w:r>
              <w:rPr>
                <w:rStyle w:val="16"/>
                <w:rFonts w:hint="eastAsia" w:ascii="Times New Roman" w:hAnsi="方正公文黑体" w:eastAsia="方正公文黑体"/>
                <w:i w:val="0"/>
                <w:iCs w:val="0"/>
                <w:color w:val="auto"/>
                <w:highlight w:val="none"/>
                <w:lang w:eastAsia="zh-CN" w:bidi="ar"/>
              </w:rPr>
              <w:t>一</w:t>
            </w:r>
            <w:r>
              <w:rPr>
                <w:rStyle w:val="16"/>
                <w:rFonts w:hint="eastAsia" w:ascii="Times New Roman" w:hAnsi="方正公文黑体" w:eastAsia="方正公文黑体"/>
                <w:i w:val="0"/>
                <w:iCs w:val="0"/>
                <w:color w:val="auto"/>
                <w:highlight w:val="none"/>
                <w:lang w:bidi="ar"/>
              </w:rPr>
              <w:t>、综合政务（14项）</w:t>
            </w:r>
          </w:p>
        </w:tc>
      </w:tr>
      <w:tr w14:paraId="272293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680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EBA">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2E6E88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34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EA25">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73B36F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315">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6154">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120C39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D8F6">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04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681419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BAE">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363">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03DC0A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BCD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51D">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69F26A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218">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19F6">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23E8A6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80B9">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F43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6F3596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D64B">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894">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15A7B3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063">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BF58">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069DD4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C1CD">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CFE">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774E7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11CF">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6B2">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67B18B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241">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FD19">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459BE6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DFB2">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C53">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5509191C">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b w:val="0"/>
          <w:bCs/>
          <w:snapToGrid w:val="0"/>
          <w:color w:val="auto"/>
          <w:kern w:val="44"/>
          <w:sz w:val="44"/>
          <w:szCs w:val="44"/>
          <w:highlight w:val="none"/>
          <w:lang w:val="en-US" w:eastAsia="zh-CN" w:bidi="ar-SA"/>
        </w:rPr>
      </w:pPr>
      <w:r>
        <w:rPr>
          <w:rFonts w:ascii="Times New Roman" w:hAnsi="Times New Roman" w:eastAsia="方正小标宋_GBK" w:cs="Times New Roman"/>
          <w:color w:val="auto"/>
          <w:highlight w:val="none"/>
          <w:lang w:eastAsia="zh-CN" w:bidi="ar"/>
        </w:rPr>
        <w:br w:type="page"/>
      </w:r>
      <w:bookmarkStart w:id="4" w:name="_Toc172077552"/>
      <w:bookmarkStart w:id="5" w:name="_Toc172077417"/>
      <w:bookmarkStart w:id="6" w:name="_Toc1228027368"/>
      <w:bookmarkStart w:id="7" w:name="_Toc172077950"/>
      <w:r>
        <w:rPr>
          <w:rFonts w:hint="eastAsia" w:ascii="方正小标宋_GBK" w:hAnsi="方正小标宋_GBK" w:eastAsia="方正小标宋_GBK" w:cs="方正小标宋_GBK"/>
          <w:b w:val="0"/>
          <w:bCs/>
          <w:snapToGrid w:val="0"/>
          <w:color w:val="auto"/>
          <w:kern w:val="44"/>
          <w:sz w:val="44"/>
          <w:szCs w:val="44"/>
          <w:highlight w:val="none"/>
          <w:lang w:val="en-US" w:eastAsia="zh-CN" w:bidi="ar-SA"/>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87"/>
        <w:gridCol w:w="1941"/>
        <w:gridCol w:w="4842"/>
        <w:gridCol w:w="4848"/>
      </w:tblGrid>
      <w:tr w14:paraId="0DF64DF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3AA2">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E6D7">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FF07">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7B7">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5CD5">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433D47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3A9F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21C780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5D0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E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5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2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CF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5D9AB0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2F7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8F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04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9F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F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424C6B1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72D6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4088C5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9DA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3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C0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A4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E8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585110F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CA86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三、民生服务（20项）</w:t>
            </w:r>
          </w:p>
        </w:tc>
      </w:tr>
      <w:tr w14:paraId="17C64F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74B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8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E3E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4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7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2EB1E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C38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24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A66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178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8E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662C81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773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D7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6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FA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DFA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18094C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34B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D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CB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E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40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11C8B4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90B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1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9E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13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6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3B2AF7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67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EA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CF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05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46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13F777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695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15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B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4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49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34051D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E8F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7C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82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30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5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1.宣传慈善救助圆梦大学政策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03AE89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2F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F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8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7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9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348B3B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1A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1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543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1CBE4BA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EFC3DB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42E166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14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48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0B8592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E58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47C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2B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A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C8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0ADA29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761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81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5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5B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F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341AD4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8C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48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0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B9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F7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2BC542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F51">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45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661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369F52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A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B2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570276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FE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D8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34A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51752E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CD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45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0D3290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F82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D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0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0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2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7201E4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D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B4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B2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3C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6E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1CF55A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FB9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A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B4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1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8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134DA3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80A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9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B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EB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9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22B1ED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F8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3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办理地方国有企业买断、工作满五年下岗人员的病退申请及下岗的特殊工种人员退休报名业务</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3F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F3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1.下发办理地方国有企业买断、工作满五年下岗人员的病退申请及下岗的特殊工种人员退休报名业务的通知；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2.办理符合地方国有企业买断、工作满五年下岗人员的病退申请及下岗的特殊工种人员退休报名的业务。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5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1.宣传地方国有企业买断、工作满五年下岗人员的病退申请及下岗的特殊工种人员退休报名业务的政策；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2.受理、上报符合地方国有企业买断、工作满五年下岗人员的病退申请及下岗的特殊工种人员退休报名的申请。</w:t>
            </w:r>
          </w:p>
        </w:tc>
      </w:tr>
      <w:tr w14:paraId="30F975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F801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四、文化和旅游（1项）</w:t>
            </w:r>
          </w:p>
        </w:tc>
      </w:tr>
      <w:tr w14:paraId="2D4F90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6FA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9D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EC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51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抚松县文化广播电视和旅游局文化综合执法大队负责入户清理居民私自安装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8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1816D5A4">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DD2A">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0EB637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C420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49FE89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7B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C8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F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B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D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2868DF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8D5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09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EC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F4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36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178333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FAA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5A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8F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A1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B9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62CB36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E09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B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E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1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C2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431C20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57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9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C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7B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5F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32F90C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4FF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BC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0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D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1F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31DBB0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655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92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6A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w:t>
            </w:r>
            <w:r>
              <w:rPr>
                <w:rFonts w:hint="eastAsia" w:ascii="Times New Roman" w:hAnsi="方正公文仿宋" w:eastAsia="方正公文仿宋"/>
                <w:color w:val="auto"/>
                <w:kern w:val="0"/>
                <w:szCs w:val="21"/>
                <w:highlight w:val="none"/>
                <w:lang w:eastAsia="zh-CN" w:bidi="ar"/>
              </w:rPr>
              <w:t>发展</w:t>
            </w:r>
            <w:r>
              <w:rPr>
                <w:rFonts w:hint="eastAsia" w:ascii="Times New Roman" w:hAnsi="方正公文仿宋" w:eastAsia="方正公文仿宋"/>
                <w:color w:val="auto"/>
                <w:kern w:val="0"/>
                <w:szCs w:val="21"/>
                <w:highlight w:val="none"/>
                <w:lang w:bidi="ar"/>
              </w:rPr>
              <w:t>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2E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D8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285ADA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694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B3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3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0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6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12F936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31E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2E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4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4A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5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37BBBA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A3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5C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1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D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F1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3591F7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279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0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8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4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15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2BEF85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6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5B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D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2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93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5D2D7E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9E6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0D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78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F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7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2C4C2C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22B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0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9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0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66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2708F5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08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46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8C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3B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A62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260C07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26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5A8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AA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9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B83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7F9C9A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C5A7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3B7703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C39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A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A5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CD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EE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425D4B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4B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B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EB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7A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C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584150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F3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1B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9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9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6D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14CAE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53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E6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F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0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3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5AD413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7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3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DF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88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7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65139A5E">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3B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、社会</w:t>
            </w:r>
            <w:r>
              <w:rPr>
                <w:rStyle w:val="16"/>
                <w:rFonts w:hint="eastAsia" w:ascii="Times New Roman" w:hAnsi="方正公文黑体" w:eastAsia="方正公文黑体"/>
                <w:color w:val="auto"/>
                <w:highlight w:val="none"/>
                <w:lang w:eastAsia="zh-CN" w:bidi="ar"/>
              </w:rPr>
              <w:t>稳定</w:t>
            </w:r>
            <w:r>
              <w:rPr>
                <w:rStyle w:val="16"/>
                <w:rFonts w:hint="eastAsia" w:ascii="Times New Roman" w:hAnsi="方正公文黑体" w:eastAsia="方正公文黑体"/>
                <w:color w:val="auto"/>
                <w:highlight w:val="none"/>
                <w:lang w:bidi="ar"/>
              </w:rPr>
              <w:t>（2项）</w:t>
            </w:r>
          </w:p>
        </w:tc>
      </w:tr>
      <w:tr w14:paraId="26236C4A">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C08D">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0759A9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521C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13F2BF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BEA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CF9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41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80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48A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169922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58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F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C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227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D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5A64A2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E724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5CE000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F8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1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91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74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E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04095C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1D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53B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6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1E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EB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26F999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E7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B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B28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260257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0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D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3CD2B8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421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96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D9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C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2.核实确定违法占用耕地、违规建房等问题。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F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700A79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9C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B0E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林木采伐管理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F81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496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50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县林业局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66C0FF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6D1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CBD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2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0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2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116439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C1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D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E2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E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F1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5CB666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3B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CD3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8B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4B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FA3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69F5194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328E85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15F0908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354484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68DEB4D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0B5338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0C3766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3543FA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211D4E5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733E9A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7FB6D8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DC0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D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0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D2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5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1C0543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920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0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3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D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1F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62E00B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B4D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A3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0E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BD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59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30324D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12C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3B4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C7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6A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3C30759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BE0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256113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F6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2C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不动产权籍调查</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60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EB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2A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7C8F37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EDA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F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EA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F2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F7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1F5194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13EF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1A3551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2D5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385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大气污染防治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43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568D993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
</w:t>
            </w:r>
          </w:p>
          <w:p w14:paraId="56D8288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
</w:t>
            </w:r>
          </w:p>
          <w:p w14:paraId="1829689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0A032AB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4D3F">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BA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463682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AD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8A4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水污染防治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A1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79FCC94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53CAFFC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30B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95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2675AE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AF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EA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土壤污染防治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38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46975A3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
</w:t>
            </w:r>
          </w:p>
          <w:p w14:paraId="4B09355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2BF">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E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6CEB12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EA4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B70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清洁取暖项目改造</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BE0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70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705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6AB809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0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6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1B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0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30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1ABB5D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9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D0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82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48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A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6F62B2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01E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E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76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D9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DF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6F5343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CE0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5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F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68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A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3C41AE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1E2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5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4B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5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A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5C8092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C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4C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0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C8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33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556014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59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E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5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D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D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6D9670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BA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3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B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43E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A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3ED22A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35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D9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60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592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7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1C655A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6170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4068B7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F0C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6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A5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F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1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2D5947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1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84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编制村庄规划</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15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53EC6F9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95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4A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0E836F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0A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3FF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编制乡镇国土空间规划</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298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40E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2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490044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D7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F63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行政区域及地名管理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919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9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514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22AA41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CA4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E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1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0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8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62E1BF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1E6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C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2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9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A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32440A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18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A7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公共租赁住房保障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46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797F2A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87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p>
          <w:p w14:paraId="698ADD9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582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7B957AB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614D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2F23EF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FA3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E92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发放叶酸</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46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E3E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86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7C616C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43FC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076856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AB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7F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安全生产整治及事故处置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E8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5D65E9A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61DF">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45FDDD0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F4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5E0AC9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F8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16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防汛抗旱工作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BA1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1C1F03F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31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2B43CA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49F27F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4AB63E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72830A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13B7C79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4F0EE7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0B61035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1B5014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78C7962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2BA7DE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52CBE4F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6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3F813D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282FF7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1FBDCB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61C67B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4639FD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4DF817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706726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7375E8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6F2071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32A20F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37ADAEF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5EB70C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6A736F2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0C6FA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7FF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D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5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7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C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4DDCC4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D06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A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消防安全工作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FB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BB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54BFD4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7E0D75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03CA21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21A75A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4BADAFE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775FA9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4661FB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D1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2EE5A5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14F562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50C1BA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241453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711F9A3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34C6AB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7.发生火情后组织群众疏散。</w:t>
            </w:r>
          </w:p>
        </w:tc>
      </w:tr>
      <w:tr w14:paraId="6F2C0C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5EB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F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11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4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97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54F389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C7F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61C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地质灾害防范处置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902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
</w:t>
            </w:r>
          </w:p>
          <w:p w14:paraId="3756E15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F5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1.协调指导相关部门、乡镇处置地质灾害，及时发放上级下拨的救助经费和物资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19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1.组织疏散群众；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2.统计上报受灾地点；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3.下发应急物资；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调查地质灾害形成原因。</w:t>
            </w:r>
          </w:p>
        </w:tc>
      </w:tr>
      <w:tr w14:paraId="020D80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71D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6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82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04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1A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14B8B3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9A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41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E6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0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20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6AF664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645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E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D4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2E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8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3BD36C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400FEE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14964A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3971D14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66BEA9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44A649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66C5A0F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7E9B52B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44623A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581714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E57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375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森林防灭火工作</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21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F09458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3B96DDD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B4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0C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387282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906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938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CA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2C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AB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50317A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A50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CB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A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2C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F4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30F2C9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50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6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9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8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3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252703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DD9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69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监管焊接与切割作业</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1A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BE5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CD2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7CDAC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A9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DF2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排查有限空间作业安全情况</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1F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
</w:t>
            </w:r>
          </w:p>
          <w:p w14:paraId="10725C1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97A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8D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64D86E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952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1A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开展特种设备涉假证书专项整治</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F3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BB8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22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4E5CDE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41C1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40B4F6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8B2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03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F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7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15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5867B1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7F6C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0E08C1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E94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E8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F0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AC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9C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27ED6A4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0F4D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59D7AB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EDC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3E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3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F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8FB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3E01080B">
      <w:pPr>
        <w:pStyle w:val="3"/>
        <w:spacing w:before="0" w:after="0" w:line="240" w:lineRule="auto"/>
        <w:jc w:val="center"/>
        <w:rPr>
          <w:rFonts w:hint="eastAsia" w:ascii="方正小标宋_GBK" w:hAnsi="方正小标宋_GBK" w:eastAsia="方正小标宋_GBK" w:cs="方正小标宋_GBK"/>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553"/>
      <w:bookmarkStart w:id="9" w:name="_Toc172077951"/>
      <w:bookmarkStart w:id="10" w:name="_Toc172077418"/>
      <w:bookmarkStart w:id="11" w:name="_Toc248221849"/>
      <w:r>
        <w:rPr>
          <w:rFonts w:hint="eastAsia" w:ascii="方正小标宋_GBK" w:hAnsi="方正小标宋_GBK" w:eastAsia="方正小标宋_GBK" w:cs="方正小标宋_GBK"/>
          <w:b w:val="0"/>
          <w:color w:val="auto"/>
          <w:highlight w:val="none"/>
          <w:lang w:eastAsia="zh-CN"/>
        </w:rPr>
        <w:t>上级部门收回事项清单</w:t>
      </w:r>
      <w:bookmarkEnd w:id="8"/>
      <w:bookmarkEnd w:id="9"/>
      <w:bookmarkEnd w:id="10"/>
      <w:bookmarkEnd w:id="11"/>
    </w:p>
    <w:tbl>
      <w:tblPr>
        <w:tblStyle w:val="8"/>
        <w:tblW w:w="14324" w:type="dxa"/>
        <w:tblInd w:w="0" w:type="dxa"/>
        <w:tblLayout w:type="autofit"/>
        <w:tblCellMar>
          <w:top w:w="0" w:type="dxa"/>
          <w:left w:w="108" w:type="dxa"/>
          <w:bottom w:w="0" w:type="dxa"/>
          <w:right w:w="108" w:type="dxa"/>
        </w:tblCellMar>
      </w:tblPr>
      <w:tblGrid>
        <w:gridCol w:w="726"/>
        <w:gridCol w:w="4405"/>
        <w:gridCol w:w="9193"/>
      </w:tblGrid>
      <w:tr w14:paraId="42D83D4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C4FD">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C63F">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B617">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470553F1">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316C3">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27909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78C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EE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BF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1494084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E460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25B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749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9F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D0EBCD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7CF65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F1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01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A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1F9598B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5B168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063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8D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60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68EDD3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1567A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2C4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E3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28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95333D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7549C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B12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578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5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7BFD57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0F40A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2C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875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F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9B7E73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253D44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7B4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29E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C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3B11470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59C8D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3B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44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9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1180F8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32DD626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1E03F92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580CC62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437C550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31C2F91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6B299D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FC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DD6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7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2DB61E0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1A5A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89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F65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80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0ECF7F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612E2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DE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376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B5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1E4E3C8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3E588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73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BD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18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AF4230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51173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54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0E7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113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9AC99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75B21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32E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2DE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6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D3764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6AB39C43">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5F85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5F7330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106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0A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12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D5D386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62D18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44F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562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A5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0666CA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6C973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333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86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对擅自兴建殡葬设施的处罚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9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7C7ED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47484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04692B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5BF36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5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7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23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AC4654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1ABA2A4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1FB48A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20749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E8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69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F3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DC023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148A8A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37835B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7B094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DB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EF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9E5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E1CA04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2B19B8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79F807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4A02A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18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20C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FBD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0CDCA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69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3E4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C84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876CAC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7EB6E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89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7E2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ECE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A2665E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0F13D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3E2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48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71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3A64D7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0FA65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DA0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5E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1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3823D9B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324F3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61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72B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6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B90814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09F71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CD9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6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14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9C9D44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36CC2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B10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01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7F5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A86EC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15582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A4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DA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A8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F89811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2AD53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05C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41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21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336C45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3C76F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21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51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C4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8F5D1A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5337E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CB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B6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D5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AD032F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09CDD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16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CB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6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1D4B1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33E6B0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47A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7D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6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5DF23DB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540FF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60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4E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FD9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CC3527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0A39C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63F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9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3B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CE923F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6184F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DE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F1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2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4A6253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65D2D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F6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A4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A4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719448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15177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F31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6B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869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44B467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42924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7F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1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82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3B6446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B2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72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217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17203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7A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47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94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51C83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5E20692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6C6D0B5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691965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64C79DA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45532BC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34FA5D45">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0C55EF02">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06991C05">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45D4FC2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6BA8C0F4">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E055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3C3C2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1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4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9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17427679">
        <w:tblPrEx>
          <w:tblCellMar>
            <w:top w:w="0" w:type="dxa"/>
            <w:left w:w="108" w:type="dxa"/>
            <w:bottom w:w="0" w:type="dxa"/>
            <w:right w:w="108" w:type="dxa"/>
          </w:tblCellMar>
        </w:tblPrEx>
        <w:trPr>
          <w:cantSplit/>
          <w:trHeight w:val="76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704A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1CD7E2D9">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15B0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6FCB2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0C9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8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77DB">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1CE7C61C">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2F031A03">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30094856">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4F5A2946">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07D22AE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367DA60B">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0AB99CB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0CACC7EA">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6.送达告知与救济途径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04A4E53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bookmarkStart w:id="12" w:name="_GoBack"/>
            <w:bookmarkEnd w:id="12"/>
          </w:p>
        </w:tc>
      </w:tr>
      <w:tr w14:paraId="6F8819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36F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0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D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B4B1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A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EA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6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49E6A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25C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7A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B71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7B46F95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C0E93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556E3F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35FC71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028546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275567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198BA12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0B1EFCD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7641F9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10CDC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86E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7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1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40963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9A6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E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F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B9E3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FB8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7A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A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w:t>
            </w:r>
            <w:r>
              <w:rPr>
                <w:rFonts w:hint="eastAsia" w:ascii="Times New Roman" w:hAnsi="方正公文仿宋" w:eastAsia="方正公文仿宋"/>
                <w:color w:val="auto"/>
                <w:kern w:val="0"/>
                <w:szCs w:val="21"/>
                <w:highlight w:val="none"/>
                <w:lang w:eastAsia="zh-CN" w:bidi="ar"/>
              </w:rPr>
              <w:t>的申请</w:t>
            </w:r>
            <w:r>
              <w:rPr>
                <w:rFonts w:hint="eastAsia" w:ascii="Times New Roman" w:hAnsi="方正公文仿宋" w:eastAsia="方正公文仿宋"/>
                <w:color w:val="auto"/>
                <w:kern w:val="0"/>
                <w:szCs w:val="21"/>
                <w:highlight w:val="none"/>
                <w:lang w:bidi="ar"/>
              </w:rPr>
              <w:t>材料，并对材料进行审核；</w:t>
            </w:r>
          </w:p>
          <w:p w14:paraId="79F7FB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5.审核申请人制定的《森林防火区野外用火防火安全防范措施方案》；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63C422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B1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7B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2E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highlight w:val="none"/>
                <w:lang w:eastAsia="zh-CN" w:bidi="ar"/>
              </w:rPr>
              <w:t>的申请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5.审核申请人制定的《森林高火险期内进入森林高火险区计划》；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5958D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82B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6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C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F390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CE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A6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8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358F1F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5C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D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B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对材料不齐全或不符合要求的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一次性告知申请人限期补正；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3.对符合法定条件的，作出准予行政许可决定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4.打印并颁发证件。</w:t>
            </w:r>
          </w:p>
        </w:tc>
      </w:tr>
      <w:tr w14:paraId="62632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CC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76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8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0B1F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4FF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D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8B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7DF9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A82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3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F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09AF8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CB0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1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62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3044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52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71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C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4DC2C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2C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40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土地征收、征用</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A1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 xml:space="preserve">抚松县自然资源局耕地保护与用途管制科负责拟定土地征收、征用工作实施方案；     </w:t>
            </w:r>
            <w:r>
              <w:rPr>
                <w:rFonts w:hint="eastAsia"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2.各成员单位按照实施方案各负其责。</w:t>
            </w:r>
          </w:p>
        </w:tc>
      </w:tr>
      <w:tr w14:paraId="66FE8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3AC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75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非法采砂行为监管</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AFF2">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承接部门：抚松县自然资源局</w:t>
            </w:r>
          </w:p>
          <w:p w14:paraId="273661B6">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工作方式：</w:t>
            </w:r>
          </w:p>
          <w:p w14:paraId="29FE1434">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1.接收乡镇政府日常巡查发现的违法行为重大、复杂的线索，并按照文件要求将线索分类并发送至涉及的自然资源、水利、林业等相关部门；</w:t>
            </w:r>
          </w:p>
          <w:p w14:paraId="09F06535">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2.各相关行政部门接收和本单位职责相关的非法采砂行为线索；</w:t>
            </w:r>
          </w:p>
          <w:p w14:paraId="093E1AC9">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3.各相关行政部门核实违法案件情况；</w:t>
            </w:r>
          </w:p>
          <w:p w14:paraId="4826A7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4.各相关行政部门依法依规作出行政处罚。</w:t>
            </w:r>
          </w:p>
        </w:tc>
      </w:tr>
      <w:tr w14:paraId="38169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9E8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5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开展集体土地所有权登记</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5B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抚松县自然资源局不动产登记中心受理集体土地所有权登记申请；</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val="en-US" w:eastAsia="zh-CN" w:bidi="ar"/>
              </w:rPr>
              <w:t>确定集体土地所有权。</w:t>
            </w:r>
          </w:p>
        </w:tc>
      </w:tr>
      <w:tr w14:paraId="381642E9">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E72E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4FCB0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8FA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90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B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47168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01A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F3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C7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3F93D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F6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8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2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7BC9F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026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9C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1C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601D9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7A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D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CB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39A40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E70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06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2D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5ADD3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DA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F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B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61FB9375">
        <w:tblPrEx>
          <w:tblCellMar>
            <w:top w:w="0" w:type="dxa"/>
            <w:left w:w="108" w:type="dxa"/>
            <w:bottom w:w="0" w:type="dxa"/>
            <w:right w:w="108" w:type="dxa"/>
          </w:tblCellMar>
        </w:tblPrEx>
        <w:trPr>
          <w:cantSplit/>
          <w:trHeight w:val="38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A0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FC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0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26676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863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F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7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2927D81B">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E624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6A285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047">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1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AC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1.抚松县自然资源局执法监察科负责接收未经批准或者采取欺骗手段骗取批准以及超过批准的数量，非法占用土地的行为线索；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3.对涉案行为采取相应措施。</w:t>
            </w:r>
          </w:p>
        </w:tc>
      </w:tr>
      <w:tr w14:paraId="23CCA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40B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A1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1D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78066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64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72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8E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3045F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5C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24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45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0AAC5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14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97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BD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22D5F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19A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C8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1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160A1AB3">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F3BC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2DE6D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0CC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3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73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3CF6C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B3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C5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开展妇幼健康服务项目</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00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承接部门：抚松县卫生健康局</w:t>
            </w:r>
          </w:p>
          <w:p w14:paraId="500BFBA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878D17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p>
          <w:p w14:paraId="44FEAD1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2.确定妇幼健康服务项目；</w:t>
            </w:r>
          </w:p>
          <w:p w14:paraId="10CC4A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3.实施妇幼健康服务项目。</w:t>
            </w:r>
          </w:p>
        </w:tc>
      </w:tr>
      <w:tr w14:paraId="1367D0B8">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4DC2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3F9DD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63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3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10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3D1A5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C8D">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6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26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3B10BD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FE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2E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2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20E7F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A7BC">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89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46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2D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66AA7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64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0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D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0EAF9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F12">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3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C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63DBB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6D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szCs w:val="21"/>
                <w:highlight w:val="none"/>
                <w:lang w:val="en-US" w:eastAsia="zh-CN"/>
              </w:rPr>
              <w:t>92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D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BF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308D2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8F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93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25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D2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69055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943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3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B3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C7E00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80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6F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9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D189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9A4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7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E7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34AB8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EEA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35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06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67E42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A6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6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5F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7DD006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872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4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排查整改高层建筑消防设施隐患</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3C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县消防救援大队对全镇区域内的高层建筑消防设施进行排查；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2.抚松县安全生产委员会统筹组织隐患问题的整改。</w:t>
            </w:r>
          </w:p>
        </w:tc>
      </w:tr>
      <w:tr w14:paraId="68E94045">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6837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5B554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B876">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99</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07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25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6A477B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5B3">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100</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0C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00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00C45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53B">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101</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D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1E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712F0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8B40">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102</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B0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3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297FC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C2C1">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103</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B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7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4E8651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71F">
            <w:pPr>
              <w:widowControl/>
              <w:kinsoku/>
              <w:spacing w:before="0" w:beforeLines="0" w:after="0" w:afterLines="0"/>
              <w:jc w:val="center"/>
              <w:textAlignment w:val="auto"/>
              <w:rPr>
                <w:rFonts w:hint="default"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104</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19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90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24D9D6DA">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463B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219FC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077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105</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D4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0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6E4B7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2E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A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2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0C5E81EC">
        <w:tblPrEx>
          <w:tblCellMar>
            <w:top w:w="0" w:type="dxa"/>
            <w:left w:w="108" w:type="dxa"/>
            <w:bottom w:w="0" w:type="dxa"/>
            <w:right w:w="108" w:type="dxa"/>
          </w:tblCellMar>
        </w:tblPrEx>
        <w:trPr>
          <w:cantSplit/>
          <w:trHeight w:val="480" w:hRule="atLeast"/>
        </w:trPr>
        <w:tc>
          <w:tcPr>
            <w:tcW w:w="1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DE3F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36A5B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B3E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7</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0C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9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5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15CC5D0C">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5C151">
    <w:pPr>
      <w:pStyle w:val="5"/>
      <w:jc w:val="center"/>
      <w:rPr>
        <w:rFonts w:ascii="方正仿宋简体" w:hAnsi="方正仿宋简体" w:eastAsia="方正仿宋简体" w:cs="方正仿宋简体"/>
        <w:sz w:val="28"/>
        <w:szCs w:val="20"/>
      </w:rPr>
    </w:pPr>
    <w:r>
      <w:rPr>
        <w:rFonts w:hint="eastAsia" w:ascii="方正仿宋简体" w:hAnsi="方正仿宋简体" w:eastAsia="方正仿宋简体" w:cs="方正仿宋简体"/>
        <w:sz w:val="28"/>
        <w:szCs w:val="28"/>
      </w:rPr>
      <w:t xml:space="preserve">第 </w:t>
    </w:r>
    <w:r>
      <w:rPr>
        <w:rFonts w:ascii="Times New Roman" w:hAnsi="Times New Roman" w:eastAsia="方正仿宋简体"/>
        <w:sz w:val="28"/>
        <w:szCs w:val="20"/>
      </w:rPr>
      <w:fldChar w:fldCharType="begin"/>
    </w:r>
    <w:r>
      <w:rPr>
        <w:rFonts w:ascii="Times New Roman" w:hAnsi="Times New Roman" w:eastAsia="方正仿宋简体" w:cs="Times New Roman"/>
        <w:sz w:val="28"/>
        <w:szCs w:val="28"/>
      </w:rPr>
      <w:instrText xml:space="preserve"> PAGE  \* MERGEFORMAT </w:instrText>
    </w:r>
    <w:r>
      <w:rPr>
        <w:rFonts w:ascii="Times New Roman" w:hAnsi="Times New Roman" w:eastAsia="方正仿宋简体"/>
        <w:sz w:val="28"/>
        <w:szCs w:val="20"/>
      </w:rPr>
      <w:fldChar w:fldCharType="separate"/>
    </w:r>
    <w:r>
      <w:rPr>
        <w:rFonts w:ascii="Times New Roman" w:hAnsi="Times New Roman" w:eastAsia="方正仿宋简体"/>
        <w:sz w:val="28"/>
        <w:szCs w:val="20"/>
      </w:rPr>
      <w:t>3</w:t>
    </w:r>
    <w:r>
      <w:rPr>
        <w:rFonts w:ascii="Times New Roman" w:hAnsi="Times New Roman" w:eastAsia="方正仿宋简体"/>
        <w:sz w:val="28"/>
        <w:szCs w:val="20"/>
      </w:rPr>
      <w:fldChar w:fldCharType="end"/>
    </w:r>
    <w:r>
      <w:rPr>
        <w:rFonts w:hint="eastAsia" w:ascii="方正仿宋简体" w:hAnsi="方正仿宋简体" w:eastAsia="方正仿宋简体" w:cs="方正仿宋简体"/>
        <w:sz w:val="28"/>
        <w:szCs w:val="2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FD687C"/>
    <w:rsid w:val="06C5156F"/>
    <w:rsid w:val="1FEA7652"/>
    <w:rsid w:val="203F404D"/>
    <w:rsid w:val="227176FD"/>
    <w:rsid w:val="22DF0876"/>
    <w:rsid w:val="25BF2CB3"/>
    <w:rsid w:val="2AD90B41"/>
    <w:rsid w:val="2C7630FF"/>
    <w:rsid w:val="33F91847"/>
    <w:rsid w:val="36AB0B2D"/>
    <w:rsid w:val="39624552"/>
    <w:rsid w:val="42B12CEF"/>
    <w:rsid w:val="447FA154"/>
    <w:rsid w:val="54CD24AB"/>
    <w:rsid w:val="5BB769B1"/>
    <w:rsid w:val="5BF5587F"/>
    <w:rsid w:val="5FFF5077"/>
    <w:rsid w:val="603F2BA3"/>
    <w:rsid w:val="646E6209"/>
    <w:rsid w:val="6EF719AF"/>
    <w:rsid w:val="6F9FABED"/>
    <w:rsid w:val="70DD4A78"/>
    <w:rsid w:val="73210D7B"/>
    <w:rsid w:val="754E1819"/>
    <w:rsid w:val="792229C9"/>
    <w:rsid w:val="7ABF98FE"/>
    <w:rsid w:val="7BFE132B"/>
    <w:rsid w:val="7CFBE7AA"/>
    <w:rsid w:val="7DDE6251"/>
    <w:rsid w:val="7E531DAB"/>
    <w:rsid w:val="7F27FC40"/>
    <w:rsid w:val="A7DF7C94"/>
    <w:rsid w:val="B2DF2567"/>
    <w:rsid w:val="B4BB453B"/>
    <w:rsid w:val="BFFDCFD1"/>
    <w:rsid w:val="CE5D59F6"/>
    <w:rsid w:val="DBFB37C9"/>
    <w:rsid w:val="DF2FDB8E"/>
    <w:rsid w:val="EDEF589C"/>
    <w:rsid w:val="FBE874C8"/>
    <w:rsid w:val="FD9A2B28"/>
    <w:rsid w:val="FDCF8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character" w:customStyle="1" w:styleId="21">
    <w:name w:val="font11"/>
    <w:basedOn w:val="9"/>
    <w:qFormat/>
    <w:uiPriority w:val="0"/>
    <w:rPr>
      <w:rFonts w:hint="eastAsia" w:ascii="宋体" w:hAnsi="宋体" w:eastAsia="宋体" w:cs="宋体"/>
      <w:color w:val="FF0000"/>
      <w:sz w:val="20"/>
      <w:szCs w:val="20"/>
      <w:u w:val="none"/>
    </w:rPr>
  </w:style>
  <w:style w:type="character" w:customStyle="1" w:styleId="22">
    <w:name w:val="font01"/>
    <w:basedOn w:val="9"/>
    <w:qFormat/>
    <w:uiPriority w:val="0"/>
    <w:rPr>
      <w:rFonts w:hint="default" w:ascii="楷体" w:hAnsi="楷体" w:eastAsia="楷体" w:cs="楷体"/>
      <w:color w:val="00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49</Words>
  <Characters>50</Characters>
  <Lines>1</Lines>
  <Paragraphs>1</Paragraphs>
  <TotalTime>1</TotalTime>
  <ScaleCrop>false</ScaleCrop>
  <LinksUpToDate>false</LinksUpToDate>
  <CharactersWithSpaces>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2024-07-20T04:59:00Z</dcterms:created>
  <dc:creator>liuhl</dc:creator>
  <cp:lastModifiedBy>囿游</cp:lastModifiedBy>
  <dcterms:modified xsi:type="dcterms:W3CDTF">2026-06-01T00:56:09Z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F043641E946F1E324236666802B99BBF</vt:lpwstr>
  </property>
  <property fmtid="{D5CDD505-2E9C-101B-9397-08002B2CF9AE}" pid="4" name="KSOTemplateDocerSaveRecord">
    <vt:lpwstr>eyJoZGlkIjoiODg0YWM3OTcxNjVkZThjZmZjYzExMDE5ZTE5ZjMxY2YiLCJ1c2VySWQiOiIzMzc1NTI0ODgifQ==</vt:lpwstr>
  </property>
</Properties>
</file>