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366" w:line="240" w:lineRule="auto"/>
        <w:ind w:left="0" w:leftChars="0" w:firstLine="0" w:firstLineChars="0"/>
        <w:jc w:val="both"/>
        <w:textAlignment w:val="baseline"/>
        <w:rPr>
          <w:rFonts w:hint="eastAsia" w:ascii="华文中宋" w:hAnsi="华文中宋" w:eastAsia="华文中宋" w:cs="华文中宋"/>
          <w:snapToGrid w:val="0"/>
          <w:color w:val="auto"/>
          <w:spacing w:val="30"/>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366" w:line="240" w:lineRule="auto"/>
        <w:ind w:left="0" w:leftChars="0" w:firstLine="0" w:firstLineChars="0"/>
        <w:jc w:val="both"/>
        <w:textAlignment w:val="baseline"/>
        <w:rPr>
          <w:rFonts w:hint="eastAsia" w:ascii="华文中宋" w:hAnsi="华文中宋" w:eastAsia="华文中宋" w:cs="华文中宋"/>
          <w:snapToGrid w:val="0"/>
          <w:color w:val="auto"/>
          <w:spacing w:val="30"/>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366" w:line="240" w:lineRule="auto"/>
        <w:ind w:firstLine="1000" w:firstLineChars="200"/>
        <w:jc w:val="center"/>
        <w:textAlignment w:val="baseline"/>
        <w:rPr>
          <w:rFonts w:hint="eastAsia" w:ascii="华文中宋" w:hAnsi="华文中宋" w:eastAsia="华文中宋" w:cs="华文中宋"/>
          <w:snapToGrid w:val="0"/>
          <w:color w:val="auto"/>
          <w:spacing w:val="30"/>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366" w:line="240" w:lineRule="auto"/>
        <w:ind w:left="0" w:leftChars="0" w:firstLine="0" w:firstLineChars="0"/>
        <w:jc w:val="center"/>
        <w:textAlignment w:val="baseline"/>
        <w:rPr>
          <w:rFonts w:hint="default" w:ascii="宋体" w:hAnsi="宋体" w:eastAsia="宋体" w:cs="宋体"/>
          <w:b/>
          <w:bCs/>
          <w:snapToGrid w:val="0"/>
          <w:color w:val="auto"/>
          <w:spacing w:val="29"/>
          <w:kern w:val="0"/>
          <w:sz w:val="52"/>
          <w:szCs w:val="52"/>
          <w:lang w:val="en-US" w:eastAsia="zh-CN"/>
        </w:rPr>
      </w:pPr>
      <w:r>
        <w:rPr>
          <w:rFonts w:hint="eastAsia" w:ascii="宋体" w:hAnsi="宋体" w:eastAsia="宋体" w:cs="宋体"/>
          <w:b/>
          <w:bCs/>
          <w:snapToGrid w:val="0"/>
          <w:color w:val="auto"/>
          <w:spacing w:val="29"/>
          <w:w w:val="80"/>
          <w:kern w:val="0"/>
          <w:sz w:val="52"/>
          <w:szCs w:val="52"/>
          <w:lang w:eastAsia="zh-CN"/>
        </w:rPr>
        <w:t>抚松县</w:t>
      </w:r>
      <w:r>
        <w:rPr>
          <w:rFonts w:hint="eastAsia" w:ascii="宋体" w:hAnsi="宋体" w:eastAsia="宋体" w:cs="宋体"/>
          <w:b/>
          <w:bCs/>
          <w:snapToGrid w:val="0"/>
          <w:color w:val="auto"/>
          <w:spacing w:val="30"/>
          <w:w w:val="80"/>
          <w:kern w:val="0"/>
          <w:sz w:val="52"/>
          <w:szCs w:val="52"/>
        </w:rPr>
        <w:t>突</w:t>
      </w:r>
      <w:r>
        <w:rPr>
          <w:rFonts w:hint="eastAsia" w:ascii="宋体" w:hAnsi="宋体" w:eastAsia="宋体" w:cs="宋体"/>
          <w:b/>
          <w:bCs/>
          <w:snapToGrid w:val="0"/>
          <w:color w:val="auto"/>
          <w:spacing w:val="29"/>
          <w:w w:val="80"/>
          <w:kern w:val="0"/>
          <w:sz w:val="52"/>
          <w:szCs w:val="52"/>
        </w:rPr>
        <w:t>发事件总体应急预案</w:t>
      </w:r>
    </w:p>
    <w:p>
      <w:pPr>
        <w:pStyle w:val="6"/>
        <w:ind w:left="0" w:leftChars="0" w:firstLine="0" w:firstLineChars="0"/>
        <w:jc w:val="both"/>
        <w:rPr>
          <w:rFonts w:hint="eastAsia" w:ascii="楷体" w:hAnsi="楷体" w:eastAsia="楷体" w:cs="楷体"/>
          <w:b w:val="0"/>
          <w:bCs/>
          <w:color w:val="auto"/>
          <w:sz w:val="72"/>
          <w:szCs w:val="72"/>
          <w:lang w:eastAsia="zh-CN"/>
        </w:rPr>
      </w:pPr>
    </w:p>
    <w:p>
      <w:pPr>
        <w:pStyle w:val="6"/>
        <w:ind w:left="0" w:leftChars="0" w:firstLine="0" w:firstLineChars="0"/>
        <w:jc w:val="both"/>
        <w:rPr>
          <w:rFonts w:hint="eastAsia" w:ascii="楷体" w:hAnsi="楷体" w:eastAsia="楷体" w:cs="楷体"/>
          <w:b w:val="0"/>
          <w:bCs/>
          <w:color w:val="auto"/>
          <w:sz w:val="32"/>
          <w:szCs w:val="32"/>
          <w:lang w:eastAsia="zh-CN"/>
        </w:rPr>
      </w:pPr>
    </w:p>
    <w:p>
      <w:pPr>
        <w:pStyle w:val="6"/>
        <w:ind w:left="0" w:leftChars="0" w:firstLine="0" w:firstLineChars="0"/>
        <w:jc w:val="both"/>
        <w:rPr>
          <w:rFonts w:hint="eastAsia" w:ascii="楷体" w:hAnsi="楷体" w:eastAsia="楷体" w:cs="楷体"/>
          <w:b w:val="0"/>
          <w:bCs/>
          <w:color w:val="auto"/>
          <w:sz w:val="32"/>
          <w:szCs w:val="32"/>
          <w:lang w:eastAsia="zh-CN"/>
        </w:rPr>
      </w:pPr>
    </w:p>
    <w:p>
      <w:pPr>
        <w:pStyle w:val="6"/>
        <w:ind w:left="0" w:leftChars="0" w:firstLine="0" w:firstLineChars="0"/>
        <w:jc w:val="both"/>
        <w:rPr>
          <w:rFonts w:hint="eastAsia" w:ascii="楷体" w:hAnsi="楷体" w:eastAsia="楷体" w:cs="楷体"/>
          <w:b w:val="0"/>
          <w:bCs/>
          <w:color w:val="auto"/>
          <w:sz w:val="32"/>
          <w:szCs w:val="32"/>
          <w:lang w:eastAsia="zh-CN"/>
        </w:rPr>
      </w:pPr>
    </w:p>
    <w:p>
      <w:pPr>
        <w:pStyle w:val="6"/>
        <w:ind w:left="0" w:leftChars="0" w:firstLine="0" w:firstLineChars="0"/>
        <w:jc w:val="both"/>
        <w:rPr>
          <w:rFonts w:hint="eastAsia" w:ascii="楷体" w:hAnsi="楷体" w:eastAsia="楷体" w:cs="楷体"/>
          <w:b w:val="0"/>
          <w:bCs/>
          <w:color w:val="auto"/>
          <w:sz w:val="32"/>
          <w:szCs w:val="32"/>
          <w:lang w:eastAsia="zh-CN"/>
        </w:rPr>
      </w:pPr>
    </w:p>
    <w:p>
      <w:pPr>
        <w:pStyle w:val="6"/>
        <w:ind w:left="0" w:leftChars="0" w:firstLine="0" w:firstLineChars="0"/>
        <w:jc w:val="both"/>
        <w:rPr>
          <w:rFonts w:hint="eastAsia" w:ascii="楷体" w:hAnsi="楷体" w:eastAsia="楷体" w:cs="楷体"/>
          <w:b w:val="0"/>
          <w:bCs/>
          <w:color w:val="auto"/>
          <w:sz w:val="32"/>
          <w:szCs w:val="32"/>
          <w:lang w:eastAsia="zh-CN"/>
        </w:rPr>
      </w:pPr>
    </w:p>
    <w:p>
      <w:pPr>
        <w:pStyle w:val="6"/>
        <w:ind w:left="0" w:leftChars="0" w:firstLine="0" w:firstLineChars="0"/>
        <w:jc w:val="both"/>
        <w:rPr>
          <w:rFonts w:hint="eastAsia" w:ascii="楷体" w:hAnsi="楷体" w:eastAsia="楷体" w:cs="楷体"/>
          <w:b w:val="0"/>
          <w:bCs/>
          <w:color w:val="auto"/>
          <w:sz w:val="32"/>
          <w:szCs w:val="32"/>
          <w:lang w:eastAsia="zh-CN"/>
        </w:rPr>
      </w:pPr>
    </w:p>
    <w:p>
      <w:pPr>
        <w:pStyle w:val="6"/>
        <w:ind w:left="0" w:leftChars="0" w:firstLine="0" w:firstLineChars="0"/>
        <w:jc w:val="both"/>
        <w:rPr>
          <w:rFonts w:hint="eastAsia" w:ascii="楷体" w:hAnsi="楷体" w:eastAsia="楷体" w:cs="楷体"/>
          <w:b w:val="0"/>
          <w:bCs/>
          <w:color w:val="auto"/>
          <w:sz w:val="32"/>
          <w:szCs w:val="32"/>
          <w:lang w:eastAsia="zh-CN"/>
        </w:rPr>
      </w:pPr>
    </w:p>
    <w:p>
      <w:pPr>
        <w:pStyle w:val="6"/>
        <w:ind w:left="0" w:leftChars="0" w:firstLine="0" w:firstLineChars="0"/>
        <w:jc w:val="both"/>
        <w:rPr>
          <w:rFonts w:hint="eastAsia" w:ascii="楷体" w:hAnsi="楷体" w:eastAsia="楷体" w:cs="楷体"/>
          <w:b w:val="0"/>
          <w:bCs/>
          <w:color w:val="auto"/>
          <w:sz w:val="32"/>
          <w:szCs w:val="32"/>
          <w:lang w:eastAsia="zh-CN"/>
        </w:rPr>
      </w:pPr>
    </w:p>
    <w:p>
      <w:pPr>
        <w:pageBreakBefore w:val="0"/>
        <w:widowControl/>
        <w:kinsoku/>
        <w:wordWrap/>
        <w:overflowPunct/>
        <w:topLinePunct w:val="0"/>
        <w:autoSpaceDE w:val="0"/>
        <w:autoSpaceDN w:val="0"/>
        <w:bidi w:val="0"/>
        <w:adjustRightInd w:val="0"/>
        <w:snapToGrid/>
        <w:spacing w:line="360" w:lineRule="auto"/>
        <w:ind w:left="0" w:leftChars="0" w:firstLine="0" w:firstLineChars="0"/>
        <w:jc w:val="left"/>
        <w:textAlignment w:val="baseline"/>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before="114" w:line="360" w:lineRule="auto"/>
        <w:ind w:firstLine="640" w:firstLineChars="200"/>
        <w:jc w:val="center"/>
        <w:textAlignment w:val="baseline"/>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目</w:t>
      </w:r>
      <w:r>
        <w:rPr>
          <w:rFonts w:hint="eastAsia" w:ascii="黑体" w:hAnsi="黑体" w:eastAsia="黑体" w:cs="黑体"/>
          <w:snapToGrid w:val="0"/>
          <w:color w:val="auto"/>
          <w:kern w:val="0"/>
          <w:sz w:val="32"/>
          <w:szCs w:val="32"/>
          <w:lang w:val="en-US" w:eastAsia="zh-CN"/>
        </w:rPr>
        <w:t xml:space="preserve">  </w:t>
      </w:r>
      <w:r>
        <w:rPr>
          <w:rFonts w:hint="eastAsia" w:ascii="黑体" w:hAnsi="黑体" w:eastAsia="黑体" w:cs="黑体"/>
          <w:snapToGrid w:val="0"/>
          <w:color w:val="auto"/>
          <w:kern w:val="0"/>
          <w:sz w:val="32"/>
          <w:szCs w:val="32"/>
        </w:rPr>
        <w:t>录</w:t>
      </w:r>
    </w:p>
    <w:p>
      <w:pPr>
        <w:pStyle w:val="11"/>
        <w:tabs>
          <w:tab w:val="right" w:leader="dot" w:pos="8306"/>
        </w:tabs>
      </w:pPr>
      <w:r>
        <w:rPr>
          <w:color w:val="auto"/>
          <w:sz w:val="30"/>
          <w:szCs w:val="30"/>
        </w:rPr>
        <w:fldChar w:fldCharType="begin"/>
      </w:r>
      <w:r>
        <w:rPr>
          <w:color w:val="auto"/>
          <w:sz w:val="30"/>
          <w:szCs w:val="30"/>
        </w:rPr>
        <w:instrText xml:space="preserve">TOC \o "1-3" \h \u </w:instrText>
      </w:r>
      <w:r>
        <w:rPr>
          <w:color w:val="auto"/>
          <w:sz w:val="30"/>
          <w:szCs w:val="30"/>
        </w:rPr>
        <w:fldChar w:fldCharType="separate"/>
      </w:r>
      <w:r>
        <w:rPr>
          <w:color w:val="auto"/>
          <w:szCs w:val="30"/>
        </w:rPr>
        <w:fldChar w:fldCharType="begin"/>
      </w:r>
      <w:r>
        <w:rPr>
          <w:szCs w:val="30"/>
        </w:rPr>
        <w:instrText xml:space="preserve"> HYPERLINK \l _Toc14614 </w:instrText>
      </w:r>
      <w:r>
        <w:rPr>
          <w:szCs w:val="30"/>
        </w:rPr>
        <w:fldChar w:fldCharType="separate"/>
      </w:r>
      <w:r>
        <w:rPr>
          <w:rFonts w:hint="eastAsia"/>
          <w:lang w:val="en-US" w:eastAsia="zh-CN"/>
        </w:rPr>
        <w:t>1总则</w:t>
      </w:r>
      <w:r>
        <w:tab/>
      </w:r>
      <w:r>
        <w:fldChar w:fldCharType="begin"/>
      </w:r>
      <w:r>
        <w:instrText xml:space="preserve"> PAGEREF _Toc14614 \h </w:instrText>
      </w:r>
      <w:r>
        <w:fldChar w:fldCharType="separate"/>
      </w:r>
      <w:r>
        <w:t>1</w:t>
      </w:r>
      <w:r>
        <w:fldChar w:fldCharType="end"/>
      </w:r>
      <w:r>
        <w:rPr>
          <w:color w:val="auto"/>
          <w:szCs w:val="30"/>
        </w:rPr>
        <w:fldChar w:fldCharType="end"/>
      </w:r>
    </w:p>
    <w:p>
      <w:pPr>
        <w:pStyle w:val="12"/>
        <w:tabs>
          <w:tab w:val="right" w:leader="dot" w:pos="8306"/>
        </w:tabs>
      </w:pPr>
      <w:r>
        <w:rPr>
          <w:color w:val="auto"/>
        </w:rPr>
        <w:fldChar w:fldCharType="begin"/>
      </w:r>
      <w:r>
        <w:instrText xml:space="preserve"> HYPERLINK \l _Toc27725 </w:instrText>
      </w:r>
      <w:r>
        <w:fldChar w:fldCharType="separate"/>
      </w:r>
      <w:r>
        <w:rPr>
          <w:rFonts w:hint="eastAsia"/>
          <w:lang w:val="en-US" w:eastAsia="zh-CN"/>
        </w:rPr>
        <w:t>1.1编制依据</w:t>
      </w:r>
      <w:r>
        <w:tab/>
      </w:r>
      <w:r>
        <w:fldChar w:fldCharType="begin"/>
      </w:r>
      <w:r>
        <w:instrText xml:space="preserve"> PAGEREF _Toc27725 \h </w:instrText>
      </w:r>
      <w:r>
        <w:fldChar w:fldCharType="separate"/>
      </w:r>
      <w:r>
        <w:t>1</w:t>
      </w:r>
      <w:r>
        <w:fldChar w:fldCharType="end"/>
      </w:r>
      <w:r>
        <w:rPr>
          <w:color w:val="auto"/>
        </w:rPr>
        <w:fldChar w:fldCharType="end"/>
      </w:r>
    </w:p>
    <w:p>
      <w:pPr>
        <w:pStyle w:val="12"/>
        <w:tabs>
          <w:tab w:val="right" w:leader="dot" w:pos="8306"/>
        </w:tabs>
      </w:pPr>
      <w:r>
        <w:rPr>
          <w:color w:val="auto"/>
        </w:rPr>
        <w:fldChar w:fldCharType="begin"/>
      </w:r>
      <w:r>
        <w:instrText xml:space="preserve"> HYPERLINK \l _Toc30611 </w:instrText>
      </w:r>
      <w:r>
        <w:fldChar w:fldCharType="separate"/>
      </w:r>
      <w:r>
        <w:rPr>
          <w:rFonts w:hint="eastAsia"/>
          <w:lang w:val="en-US" w:eastAsia="zh-CN"/>
        </w:rPr>
        <w:t>1.2适用范围</w:t>
      </w:r>
      <w:r>
        <w:tab/>
      </w:r>
      <w:r>
        <w:fldChar w:fldCharType="begin"/>
      </w:r>
      <w:r>
        <w:instrText xml:space="preserve"> PAGEREF _Toc30611 \h </w:instrText>
      </w:r>
      <w:r>
        <w:fldChar w:fldCharType="separate"/>
      </w:r>
      <w:r>
        <w:t>1</w:t>
      </w:r>
      <w:r>
        <w:fldChar w:fldCharType="end"/>
      </w:r>
      <w:r>
        <w:rPr>
          <w:color w:val="auto"/>
        </w:rPr>
        <w:fldChar w:fldCharType="end"/>
      </w:r>
    </w:p>
    <w:p>
      <w:pPr>
        <w:pStyle w:val="12"/>
        <w:tabs>
          <w:tab w:val="right" w:leader="dot" w:pos="8306"/>
        </w:tabs>
      </w:pPr>
      <w:r>
        <w:rPr>
          <w:color w:val="auto"/>
        </w:rPr>
        <w:fldChar w:fldCharType="begin"/>
      </w:r>
      <w:r>
        <w:instrText xml:space="preserve"> HYPERLINK \l _Toc16562 </w:instrText>
      </w:r>
      <w:r>
        <w:fldChar w:fldCharType="separate"/>
      </w:r>
      <w:r>
        <w:rPr>
          <w:rFonts w:hint="eastAsia"/>
          <w:lang w:val="en-US" w:eastAsia="zh-CN"/>
        </w:rPr>
        <w:t>1.3工作原则</w:t>
      </w:r>
      <w:r>
        <w:tab/>
      </w:r>
      <w:r>
        <w:fldChar w:fldCharType="begin"/>
      </w:r>
      <w:r>
        <w:instrText xml:space="preserve"> PAGEREF _Toc16562 \h </w:instrText>
      </w:r>
      <w:r>
        <w:fldChar w:fldCharType="separate"/>
      </w:r>
      <w:r>
        <w:t>1</w:t>
      </w:r>
      <w:r>
        <w:fldChar w:fldCharType="end"/>
      </w:r>
      <w:r>
        <w:rPr>
          <w:color w:val="auto"/>
        </w:rPr>
        <w:fldChar w:fldCharType="end"/>
      </w:r>
    </w:p>
    <w:p>
      <w:pPr>
        <w:pStyle w:val="12"/>
        <w:tabs>
          <w:tab w:val="right" w:leader="dot" w:pos="8306"/>
        </w:tabs>
      </w:pPr>
      <w:r>
        <w:rPr>
          <w:color w:val="auto"/>
        </w:rPr>
        <w:fldChar w:fldCharType="begin"/>
      </w:r>
      <w:r>
        <w:instrText xml:space="preserve"> HYPERLINK \l _Toc22389 </w:instrText>
      </w:r>
      <w:r>
        <w:fldChar w:fldCharType="separate"/>
      </w:r>
      <w:r>
        <w:rPr>
          <w:rFonts w:hint="eastAsia"/>
          <w:lang w:val="en-US" w:eastAsia="zh-CN"/>
        </w:rPr>
        <w:t>1.4事件分类</w:t>
      </w:r>
      <w:r>
        <w:tab/>
      </w:r>
      <w:r>
        <w:fldChar w:fldCharType="begin"/>
      </w:r>
      <w:r>
        <w:instrText xml:space="preserve"> PAGEREF _Toc22389 \h </w:instrText>
      </w:r>
      <w:r>
        <w:fldChar w:fldCharType="separate"/>
      </w:r>
      <w:r>
        <w:t>2</w:t>
      </w:r>
      <w:r>
        <w:fldChar w:fldCharType="end"/>
      </w:r>
      <w:r>
        <w:rPr>
          <w:color w:val="auto"/>
        </w:rPr>
        <w:fldChar w:fldCharType="end"/>
      </w:r>
    </w:p>
    <w:p>
      <w:pPr>
        <w:pStyle w:val="12"/>
        <w:tabs>
          <w:tab w:val="right" w:leader="dot" w:pos="8306"/>
        </w:tabs>
      </w:pPr>
      <w:r>
        <w:rPr>
          <w:color w:val="auto"/>
        </w:rPr>
        <w:fldChar w:fldCharType="begin"/>
      </w:r>
      <w:r>
        <w:instrText xml:space="preserve"> HYPERLINK \l _Toc25596 </w:instrText>
      </w:r>
      <w:r>
        <w:fldChar w:fldCharType="separate"/>
      </w:r>
      <w:r>
        <w:rPr>
          <w:rFonts w:hint="eastAsia"/>
          <w:lang w:val="en-US" w:eastAsia="zh-CN"/>
        </w:rPr>
        <w:t>1.5事件分级与分级应对</w:t>
      </w:r>
      <w:r>
        <w:tab/>
      </w:r>
      <w:r>
        <w:fldChar w:fldCharType="begin"/>
      </w:r>
      <w:r>
        <w:instrText xml:space="preserve"> PAGEREF _Toc25596 \h </w:instrText>
      </w:r>
      <w:r>
        <w:fldChar w:fldCharType="separate"/>
      </w:r>
      <w:r>
        <w:t>3</w:t>
      </w:r>
      <w:r>
        <w:fldChar w:fldCharType="end"/>
      </w:r>
      <w:r>
        <w:rPr>
          <w:color w:val="auto"/>
        </w:rPr>
        <w:fldChar w:fldCharType="end"/>
      </w:r>
    </w:p>
    <w:p>
      <w:pPr>
        <w:pStyle w:val="8"/>
        <w:tabs>
          <w:tab w:val="right" w:leader="dot" w:pos="8306"/>
        </w:tabs>
      </w:pPr>
      <w:r>
        <w:rPr>
          <w:color w:val="auto"/>
        </w:rPr>
        <w:fldChar w:fldCharType="begin"/>
      </w:r>
      <w:r>
        <w:instrText xml:space="preserve"> HYPERLINK \l _Toc5734 </w:instrText>
      </w:r>
      <w:r>
        <w:fldChar w:fldCharType="separate"/>
      </w:r>
      <w:r>
        <w:rPr>
          <w:rFonts w:hint="eastAsia"/>
          <w:lang w:val="en-US" w:eastAsia="zh-CN"/>
        </w:rPr>
        <w:t>1.5.1事件分级</w:t>
      </w:r>
      <w:r>
        <w:tab/>
      </w:r>
      <w:r>
        <w:fldChar w:fldCharType="begin"/>
      </w:r>
      <w:r>
        <w:instrText xml:space="preserve"> PAGEREF _Toc5734 \h </w:instrText>
      </w:r>
      <w:r>
        <w:fldChar w:fldCharType="separate"/>
      </w:r>
      <w:r>
        <w:t>3</w:t>
      </w:r>
      <w:r>
        <w:fldChar w:fldCharType="end"/>
      </w:r>
      <w:r>
        <w:rPr>
          <w:color w:val="auto"/>
        </w:rPr>
        <w:fldChar w:fldCharType="end"/>
      </w:r>
    </w:p>
    <w:p>
      <w:pPr>
        <w:pStyle w:val="8"/>
        <w:tabs>
          <w:tab w:val="right" w:leader="dot" w:pos="8306"/>
        </w:tabs>
      </w:pPr>
      <w:r>
        <w:rPr>
          <w:color w:val="auto"/>
        </w:rPr>
        <w:fldChar w:fldCharType="begin"/>
      </w:r>
      <w:r>
        <w:instrText xml:space="preserve"> HYPERLINK \l _Toc22486 </w:instrText>
      </w:r>
      <w:r>
        <w:fldChar w:fldCharType="separate"/>
      </w:r>
      <w:r>
        <w:rPr>
          <w:rFonts w:hint="eastAsia"/>
          <w:lang w:val="en-US" w:eastAsia="zh-CN"/>
        </w:rPr>
        <w:t>1.5.2分级应对</w:t>
      </w:r>
      <w:r>
        <w:tab/>
      </w:r>
      <w:r>
        <w:fldChar w:fldCharType="begin"/>
      </w:r>
      <w:r>
        <w:instrText xml:space="preserve"> PAGEREF _Toc22486 \h </w:instrText>
      </w:r>
      <w:r>
        <w:fldChar w:fldCharType="separate"/>
      </w:r>
      <w:r>
        <w:t>3</w:t>
      </w:r>
      <w:r>
        <w:fldChar w:fldCharType="end"/>
      </w:r>
      <w:r>
        <w:rPr>
          <w:color w:val="auto"/>
        </w:rPr>
        <w:fldChar w:fldCharType="end"/>
      </w:r>
    </w:p>
    <w:p>
      <w:pPr>
        <w:pStyle w:val="12"/>
        <w:tabs>
          <w:tab w:val="right" w:leader="dot" w:pos="8306"/>
        </w:tabs>
      </w:pPr>
      <w:r>
        <w:rPr>
          <w:color w:val="auto"/>
        </w:rPr>
        <w:fldChar w:fldCharType="begin"/>
      </w:r>
      <w:r>
        <w:instrText xml:space="preserve"> HYPERLINK \l _Toc10092 </w:instrText>
      </w:r>
      <w:r>
        <w:fldChar w:fldCharType="separate"/>
      </w:r>
      <w:r>
        <w:rPr>
          <w:rFonts w:hint="eastAsia"/>
          <w:lang w:val="en-US" w:eastAsia="zh-CN"/>
        </w:rPr>
        <w:t>1.6响应分级</w:t>
      </w:r>
      <w:r>
        <w:tab/>
      </w:r>
      <w:r>
        <w:rPr>
          <w:rFonts w:hint="eastAsia"/>
          <w:lang w:val="en-US" w:eastAsia="zh-CN"/>
        </w:rPr>
        <w:t>4</w:t>
      </w:r>
      <w:r>
        <w:rPr>
          <w:color w:val="auto"/>
        </w:rPr>
        <w:fldChar w:fldCharType="end"/>
      </w:r>
    </w:p>
    <w:p>
      <w:pPr>
        <w:pStyle w:val="12"/>
        <w:tabs>
          <w:tab w:val="right" w:leader="dot" w:pos="8306"/>
        </w:tabs>
      </w:pPr>
      <w:r>
        <w:rPr>
          <w:color w:val="auto"/>
        </w:rPr>
        <w:fldChar w:fldCharType="begin"/>
      </w:r>
      <w:r>
        <w:instrText xml:space="preserve"> HYPERLINK \l _Toc25390 </w:instrText>
      </w:r>
      <w:r>
        <w:fldChar w:fldCharType="separate"/>
      </w:r>
      <w:r>
        <w:rPr>
          <w:rFonts w:hint="eastAsia"/>
          <w:lang w:val="en-US" w:eastAsia="zh-CN"/>
        </w:rPr>
        <w:t>1.7应急预案体系</w:t>
      </w:r>
      <w:r>
        <w:tab/>
      </w:r>
      <w:r>
        <w:fldChar w:fldCharType="begin"/>
      </w:r>
      <w:r>
        <w:instrText xml:space="preserve"> PAGEREF _Toc25390 \h </w:instrText>
      </w:r>
      <w:r>
        <w:fldChar w:fldCharType="separate"/>
      </w:r>
      <w:r>
        <w:t>5</w:t>
      </w:r>
      <w:r>
        <w:fldChar w:fldCharType="end"/>
      </w:r>
      <w:r>
        <w:rPr>
          <w:color w:val="auto"/>
        </w:rPr>
        <w:fldChar w:fldCharType="end"/>
      </w:r>
    </w:p>
    <w:p>
      <w:pPr>
        <w:pStyle w:val="11"/>
        <w:tabs>
          <w:tab w:val="right" w:leader="dot" w:pos="8306"/>
        </w:tabs>
      </w:pPr>
      <w:r>
        <w:rPr>
          <w:color w:val="auto"/>
        </w:rPr>
        <w:fldChar w:fldCharType="begin"/>
      </w:r>
      <w:r>
        <w:instrText xml:space="preserve"> HYPERLINK \l _Toc15818 </w:instrText>
      </w:r>
      <w:r>
        <w:fldChar w:fldCharType="separate"/>
      </w:r>
      <w:r>
        <w:rPr>
          <w:rFonts w:hint="eastAsia"/>
          <w:lang w:val="en-US" w:eastAsia="zh-CN"/>
        </w:rPr>
        <w:t>2组织指挥体系</w:t>
      </w:r>
      <w:r>
        <w:tab/>
      </w:r>
      <w:r>
        <w:fldChar w:fldCharType="begin"/>
      </w:r>
      <w:r>
        <w:instrText xml:space="preserve"> PAGEREF _Toc15818 \h </w:instrText>
      </w:r>
      <w:r>
        <w:fldChar w:fldCharType="separate"/>
      </w:r>
      <w:r>
        <w:t>6</w:t>
      </w:r>
      <w:r>
        <w:fldChar w:fldCharType="end"/>
      </w:r>
      <w:r>
        <w:rPr>
          <w:color w:val="auto"/>
        </w:rPr>
        <w:fldChar w:fldCharType="end"/>
      </w:r>
    </w:p>
    <w:p>
      <w:pPr>
        <w:pStyle w:val="12"/>
        <w:tabs>
          <w:tab w:val="right" w:leader="dot" w:pos="8306"/>
        </w:tabs>
      </w:pPr>
      <w:r>
        <w:rPr>
          <w:color w:val="auto"/>
        </w:rPr>
        <w:fldChar w:fldCharType="begin"/>
      </w:r>
      <w:r>
        <w:instrText xml:space="preserve"> HYPERLINK \l _Toc7166 </w:instrText>
      </w:r>
      <w:r>
        <w:fldChar w:fldCharType="separate"/>
      </w:r>
      <w:r>
        <w:rPr>
          <w:rFonts w:hint="eastAsia"/>
          <w:lang w:val="en-US" w:eastAsia="zh-CN"/>
        </w:rPr>
        <w:t>2.1领导机构</w:t>
      </w:r>
      <w:r>
        <w:tab/>
      </w:r>
      <w:r>
        <w:fldChar w:fldCharType="begin"/>
      </w:r>
      <w:r>
        <w:instrText xml:space="preserve"> PAGEREF _Toc7166 \h </w:instrText>
      </w:r>
      <w:r>
        <w:fldChar w:fldCharType="separate"/>
      </w:r>
      <w:r>
        <w:t>6</w:t>
      </w:r>
      <w:r>
        <w:fldChar w:fldCharType="end"/>
      </w:r>
      <w:r>
        <w:rPr>
          <w:color w:val="auto"/>
        </w:rPr>
        <w:fldChar w:fldCharType="end"/>
      </w:r>
    </w:p>
    <w:p>
      <w:pPr>
        <w:pStyle w:val="12"/>
        <w:tabs>
          <w:tab w:val="right" w:leader="dot" w:pos="8306"/>
        </w:tabs>
      </w:pPr>
      <w:r>
        <w:rPr>
          <w:color w:val="auto"/>
        </w:rPr>
        <w:fldChar w:fldCharType="begin"/>
      </w:r>
      <w:r>
        <w:instrText xml:space="preserve"> HYPERLINK \l _Toc12343 </w:instrText>
      </w:r>
      <w:r>
        <w:fldChar w:fldCharType="separate"/>
      </w:r>
      <w:r>
        <w:rPr>
          <w:rFonts w:hint="eastAsia"/>
          <w:lang w:val="en-US" w:eastAsia="zh-CN"/>
        </w:rPr>
        <w:t>2.2专项指挥机构</w:t>
      </w:r>
      <w:r>
        <w:tab/>
      </w:r>
      <w:r>
        <w:fldChar w:fldCharType="begin"/>
      </w:r>
      <w:r>
        <w:instrText xml:space="preserve"> PAGEREF _Toc12343 \h </w:instrText>
      </w:r>
      <w:r>
        <w:fldChar w:fldCharType="separate"/>
      </w:r>
      <w:r>
        <w:t>7</w:t>
      </w:r>
      <w:r>
        <w:fldChar w:fldCharType="end"/>
      </w:r>
      <w:r>
        <w:rPr>
          <w:color w:val="auto"/>
        </w:rPr>
        <w:fldChar w:fldCharType="end"/>
      </w:r>
    </w:p>
    <w:p>
      <w:pPr>
        <w:pStyle w:val="12"/>
        <w:tabs>
          <w:tab w:val="right" w:leader="dot" w:pos="8306"/>
        </w:tabs>
      </w:pPr>
      <w:r>
        <w:rPr>
          <w:color w:val="auto"/>
        </w:rPr>
        <w:fldChar w:fldCharType="begin"/>
      </w:r>
      <w:r>
        <w:instrText xml:space="preserve"> HYPERLINK \l _Toc15426 </w:instrText>
      </w:r>
      <w:r>
        <w:fldChar w:fldCharType="separate"/>
      </w:r>
      <w:r>
        <w:rPr>
          <w:rFonts w:hint="eastAsia"/>
          <w:lang w:val="en-US" w:eastAsia="zh-CN"/>
        </w:rPr>
        <w:t>2.3工作机构</w:t>
      </w:r>
      <w:r>
        <w:tab/>
      </w:r>
      <w:r>
        <w:rPr>
          <w:rFonts w:hint="eastAsia"/>
          <w:lang w:val="en-US" w:eastAsia="zh-CN"/>
        </w:rPr>
        <w:t>7</w:t>
      </w:r>
      <w:r>
        <w:rPr>
          <w:color w:val="auto"/>
        </w:rPr>
        <w:fldChar w:fldCharType="end"/>
      </w:r>
    </w:p>
    <w:p>
      <w:pPr>
        <w:pStyle w:val="12"/>
        <w:tabs>
          <w:tab w:val="right" w:leader="dot" w:pos="8306"/>
        </w:tabs>
      </w:pPr>
      <w:r>
        <w:rPr>
          <w:color w:val="auto"/>
        </w:rPr>
        <w:fldChar w:fldCharType="begin"/>
      </w:r>
      <w:r>
        <w:instrText xml:space="preserve"> HYPERLINK \l _Toc32367 </w:instrText>
      </w:r>
      <w:r>
        <w:fldChar w:fldCharType="separate"/>
      </w:r>
      <w:r>
        <w:rPr>
          <w:rFonts w:hint="eastAsia"/>
          <w:lang w:val="en-US" w:eastAsia="zh-CN"/>
        </w:rPr>
        <w:t>2.4县现场指挥部</w:t>
      </w:r>
      <w:r>
        <w:tab/>
      </w:r>
      <w:r>
        <w:rPr>
          <w:rFonts w:hint="eastAsia"/>
          <w:lang w:val="en-US" w:eastAsia="zh-CN"/>
        </w:rPr>
        <w:t>7</w:t>
      </w:r>
      <w:r>
        <w:rPr>
          <w:color w:val="auto"/>
        </w:rPr>
        <w:fldChar w:fldCharType="end"/>
      </w:r>
    </w:p>
    <w:p>
      <w:pPr>
        <w:pStyle w:val="12"/>
        <w:tabs>
          <w:tab w:val="right" w:leader="dot" w:pos="8306"/>
        </w:tabs>
      </w:pPr>
      <w:r>
        <w:rPr>
          <w:color w:val="auto"/>
        </w:rPr>
        <w:fldChar w:fldCharType="begin"/>
      </w:r>
      <w:r>
        <w:instrText xml:space="preserve"> HYPERLINK \l _Toc936 </w:instrText>
      </w:r>
      <w:r>
        <w:fldChar w:fldCharType="separate"/>
      </w:r>
      <w:r>
        <w:rPr>
          <w:rFonts w:hint="eastAsia"/>
          <w:lang w:val="en-US" w:eastAsia="zh-CN"/>
        </w:rPr>
        <w:t>2.5各乡镇、经开区组织机构</w:t>
      </w:r>
      <w:r>
        <w:tab/>
      </w:r>
      <w:r>
        <w:rPr>
          <w:rFonts w:hint="eastAsia"/>
          <w:lang w:val="en-US" w:eastAsia="zh-CN"/>
        </w:rPr>
        <w:t>8</w:t>
      </w:r>
      <w:r>
        <w:rPr>
          <w:color w:val="auto"/>
        </w:rPr>
        <w:fldChar w:fldCharType="end"/>
      </w:r>
    </w:p>
    <w:p>
      <w:pPr>
        <w:pStyle w:val="12"/>
        <w:tabs>
          <w:tab w:val="right" w:leader="dot" w:pos="8306"/>
        </w:tabs>
      </w:pPr>
      <w:r>
        <w:rPr>
          <w:color w:val="auto"/>
        </w:rPr>
        <w:fldChar w:fldCharType="begin"/>
      </w:r>
      <w:r>
        <w:instrText xml:space="preserve"> HYPERLINK \l _Toc21677 </w:instrText>
      </w:r>
      <w:r>
        <w:fldChar w:fldCharType="separate"/>
      </w:r>
      <w:r>
        <w:rPr>
          <w:rFonts w:hint="eastAsia"/>
          <w:lang w:val="en-US" w:eastAsia="zh-CN"/>
        </w:rPr>
        <w:t>2.6专家组</w:t>
      </w:r>
      <w:r>
        <w:tab/>
      </w:r>
      <w:r>
        <w:rPr>
          <w:rFonts w:hint="eastAsia"/>
          <w:lang w:val="en-US" w:eastAsia="zh-CN"/>
        </w:rPr>
        <w:t>9</w:t>
      </w:r>
      <w:r>
        <w:rPr>
          <w:color w:val="auto"/>
        </w:rPr>
        <w:fldChar w:fldCharType="end"/>
      </w:r>
    </w:p>
    <w:p>
      <w:pPr>
        <w:pStyle w:val="11"/>
        <w:tabs>
          <w:tab w:val="right" w:leader="dot" w:pos="8306"/>
        </w:tabs>
      </w:pPr>
      <w:r>
        <w:rPr>
          <w:color w:val="auto"/>
        </w:rPr>
        <w:fldChar w:fldCharType="begin"/>
      </w:r>
      <w:r>
        <w:instrText xml:space="preserve"> HYPERLINK \l _Toc13249 </w:instrText>
      </w:r>
      <w:r>
        <w:fldChar w:fldCharType="separate"/>
      </w:r>
      <w:r>
        <w:rPr>
          <w:rFonts w:hint="eastAsia"/>
          <w:lang w:val="en-US" w:eastAsia="zh-CN"/>
        </w:rPr>
        <w:t>3风险防控与监测预警</w:t>
      </w:r>
      <w:r>
        <w:tab/>
      </w:r>
      <w:r>
        <w:rPr>
          <w:rFonts w:hint="eastAsia"/>
          <w:lang w:val="en-US" w:eastAsia="zh-CN"/>
        </w:rPr>
        <w:t>9</w:t>
      </w:r>
      <w:r>
        <w:rPr>
          <w:color w:val="auto"/>
        </w:rPr>
        <w:fldChar w:fldCharType="end"/>
      </w:r>
    </w:p>
    <w:p>
      <w:pPr>
        <w:pStyle w:val="12"/>
        <w:tabs>
          <w:tab w:val="right" w:leader="dot" w:pos="8306"/>
        </w:tabs>
      </w:pPr>
      <w:r>
        <w:rPr>
          <w:color w:val="auto"/>
        </w:rPr>
        <w:fldChar w:fldCharType="begin"/>
      </w:r>
      <w:r>
        <w:instrText xml:space="preserve"> HYPERLINK \l _Toc909 </w:instrText>
      </w:r>
      <w:r>
        <w:fldChar w:fldCharType="separate"/>
      </w:r>
      <w:r>
        <w:rPr>
          <w:rFonts w:hint="eastAsia"/>
          <w:lang w:val="en-US" w:eastAsia="zh-CN"/>
        </w:rPr>
        <w:t>3.1风险防控</w:t>
      </w:r>
      <w:r>
        <w:tab/>
      </w:r>
      <w:r>
        <w:rPr>
          <w:rFonts w:hint="eastAsia"/>
          <w:lang w:val="en-US" w:eastAsia="zh-CN"/>
        </w:rPr>
        <w:t>9</w:t>
      </w:r>
      <w:r>
        <w:rPr>
          <w:color w:val="auto"/>
        </w:rPr>
        <w:fldChar w:fldCharType="end"/>
      </w:r>
    </w:p>
    <w:p>
      <w:pPr>
        <w:pStyle w:val="12"/>
        <w:tabs>
          <w:tab w:val="right" w:leader="dot" w:pos="8306"/>
        </w:tabs>
      </w:pPr>
      <w:r>
        <w:rPr>
          <w:color w:val="auto"/>
        </w:rPr>
        <w:fldChar w:fldCharType="begin"/>
      </w:r>
      <w:r>
        <w:instrText xml:space="preserve"> HYPERLINK \l _Toc25276 </w:instrText>
      </w:r>
      <w:r>
        <w:fldChar w:fldCharType="separate"/>
      </w:r>
      <w:r>
        <w:rPr>
          <w:rFonts w:hint="eastAsia"/>
          <w:lang w:val="en-US" w:eastAsia="zh-CN"/>
        </w:rPr>
        <w:t>3.2监测预警</w:t>
      </w:r>
      <w:r>
        <w:tab/>
      </w:r>
      <w:r>
        <w:fldChar w:fldCharType="begin"/>
      </w:r>
      <w:r>
        <w:instrText xml:space="preserve"> PAGEREF _Toc25276 \h </w:instrText>
      </w:r>
      <w:r>
        <w:fldChar w:fldCharType="separate"/>
      </w:r>
      <w:r>
        <w:t>1</w:t>
      </w:r>
      <w:r>
        <w:rPr>
          <w:rFonts w:hint="eastAsia"/>
          <w:lang w:val="en-US" w:eastAsia="zh-CN"/>
        </w:rPr>
        <w:t>0</w:t>
      </w:r>
      <w:r>
        <w:fldChar w:fldCharType="end"/>
      </w:r>
      <w:r>
        <w:rPr>
          <w:color w:val="auto"/>
        </w:rPr>
        <w:fldChar w:fldCharType="end"/>
      </w:r>
    </w:p>
    <w:p>
      <w:pPr>
        <w:pStyle w:val="8"/>
        <w:tabs>
          <w:tab w:val="right" w:leader="dot" w:pos="8306"/>
        </w:tabs>
      </w:pPr>
      <w:r>
        <w:rPr>
          <w:color w:val="auto"/>
        </w:rPr>
        <w:fldChar w:fldCharType="begin"/>
      </w:r>
      <w:r>
        <w:instrText xml:space="preserve"> HYPERLINK \l _Toc22632 </w:instrText>
      </w:r>
      <w:r>
        <w:fldChar w:fldCharType="separate"/>
      </w:r>
      <w:r>
        <w:rPr>
          <w:rFonts w:hint="eastAsia"/>
          <w:lang w:val="en-US" w:eastAsia="zh-CN"/>
        </w:rPr>
        <w:t>3.2.1监测</w:t>
      </w:r>
      <w:r>
        <w:tab/>
      </w:r>
      <w:r>
        <w:fldChar w:fldCharType="begin"/>
      </w:r>
      <w:r>
        <w:instrText xml:space="preserve"> PAGEREF _Toc22632 \h </w:instrText>
      </w:r>
      <w:r>
        <w:fldChar w:fldCharType="separate"/>
      </w:r>
      <w:r>
        <w:t>1</w:t>
      </w:r>
      <w:r>
        <w:rPr>
          <w:rFonts w:hint="eastAsia"/>
          <w:lang w:val="en-US" w:eastAsia="zh-CN"/>
        </w:rPr>
        <w:t>0</w:t>
      </w:r>
      <w:r>
        <w:fldChar w:fldCharType="end"/>
      </w:r>
      <w:r>
        <w:rPr>
          <w:color w:val="auto"/>
        </w:rPr>
        <w:fldChar w:fldCharType="end"/>
      </w:r>
    </w:p>
    <w:p>
      <w:pPr>
        <w:pStyle w:val="8"/>
        <w:tabs>
          <w:tab w:val="right" w:leader="dot" w:pos="8306"/>
        </w:tabs>
      </w:pPr>
      <w:r>
        <w:rPr>
          <w:color w:val="auto"/>
        </w:rPr>
        <w:fldChar w:fldCharType="begin"/>
      </w:r>
      <w:r>
        <w:instrText xml:space="preserve"> HYPERLINK \l _Toc239 </w:instrText>
      </w:r>
      <w:r>
        <w:fldChar w:fldCharType="separate"/>
      </w:r>
      <w:r>
        <w:rPr>
          <w:rFonts w:hint="eastAsia"/>
          <w:lang w:val="en-US" w:eastAsia="zh-CN"/>
        </w:rPr>
        <w:t>3.2.2预警</w:t>
      </w:r>
      <w:r>
        <w:tab/>
      </w:r>
      <w:r>
        <w:fldChar w:fldCharType="begin"/>
      </w:r>
      <w:r>
        <w:instrText xml:space="preserve"> PAGEREF _Toc239 \h </w:instrText>
      </w:r>
      <w:r>
        <w:fldChar w:fldCharType="separate"/>
      </w:r>
      <w:r>
        <w:t>1</w:t>
      </w:r>
      <w:r>
        <w:rPr>
          <w:rFonts w:hint="eastAsia"/>
          <w:lang w:val="en-US" w:eastAsia="zh-CN"/>
        </w:rPr>
        <w:t>1</w:t>
      </w:r>
      <w:r>
        <w:fldChar w:fldCharType="end"/>
      </w:r>
      <w:r>
        <w:rPr>
          <w:color w:val="auto"/>
        </w:rPr>
        <w:fldChar w:fldCharType="end"/>
      </w:r>
    </w:p>
    <w:p>
      <w:pPr>
        <w:pStyle w:val="11"/>
        <w:tabs>
          <w:tab w:val="right" w:leader="dot" w:pos="8306"/>
        </w:tabs>
      </w:pPr>
      <w:r>
        <w:rPr>
          <w:color w:val="auto"/>
        </w:rPr>
        <w:fldChar w:fldCharType="begin"/>
      </w:r>
      <w:r>
        <w:instrText xml:space="preserve"> HYPERLINK \l _Toc24872 </w:instrText>
      </w:r>
      <w:r>
        <w:fldChar w:fldCharType="separate"/>
      </w:r>
      <w:r>
        <w:rPr>
          <w:rFonts w:hint="eastAsia"/>
          <w:lang w:val="en-US" w:eastAsia="zh-CN"/>
        </w:rPr>
        <w:t>4应急响应</w:t>
      </w:r>
      <w:r>
        <w:tab/>
      </w:r>
      <w:r>
        <w:fldChar w:fldCharType="begin"/>
      </w:r>
      <w:r>
        <w:instrText xml:space="preserve"> PAGEREF _Toc24872 \h </w:instrText>
      </w:r>
      <w:r>
        <w:fldChar w:fldCharType="separate"/>
      </w:r>
      <w:r>
        <w:t>1</w:t>
      </w:r>
      <w:r>
        <w:rPr>
          <w:rFonts w:hint="eastAsia"/>
          <w:lang w:val="en-US" w:eastAsia="zh-CN"/>
        </w:rPr>
        <w:t>4</w:t>
      </w:r>
      <w:r>
        <w:fldChar w:fldCharType="end"/>
      </w:r>
      <w:r>
        <w:rPr>
          <w:color w:val="auto"/>
        </w:rPr>
        <w:fldChar w:fldCharType="end"/>
      </w:r>
    </w:p>
    <w:p>
      <w:pPr>
        <w:pStyle w:val="12"/>
        <w:tabs>
          <w:tab w:val="right" w:leader="dot" w:pos="8306"/>
        </w:tabs>
      </w:pPr>
      <w:r>
        <w:rPr>
          <w:color w:val="auto"/>
        </w:rPr>
        <w:fldChar w:fldCharType="begin"/>
      </w:r>
      <w:r>
        <w:instrText xml:space="preserve"> HYPERLINK \l _Toc4031 </w:instrText>
      </w:r>
      <w:r>
        <w:fldChar w:fldCharType="separate"/>
      </w:r>
      <w:r>
        <w:rPr>
          <w:rFonts w:hint="eastAsia"/>
          <w:lang w:val="en-US" w:eastAsia="zh-CN"/>
        </w:rPr>
        <w:t>4.1信息报告</w:t>
      </w:r>
      <w:r>
        <w:tab/>
      </w:r>
      <w:r>
        <w:fldChar w:fldCharType="begin"/>
      </w:r>
      <w:r>
        <w:instrText xml:space="preserve"> PAGEREF _Toc4031 \h </w:instrText>
      </w:r>
      <w:r>
        <w:fldChar w:fldCharType="separate"/>
      </w:r>
      <w:r>
        <w:t>1</w:t>
      </w:r>
      <w:r>
        <w:rPr>
          <w:rFonts w:hint="eastAsia"/>
          <w:lang w:val="en-US" w:eastAsia="zh-CN"/>
        </w:rPr>
        <w:t>5</w:t>
      </w:r>
      <w:r>
        <w:fldChar w:fldCharType="end"/>
      </w:r>
      <w:r>
        <w:rPr>
          <w:color w:val="auto"/>
        </w:rPr>
        <w:fldChar w:fldCharType="end"/>
      </w:r>
    </w:p>
    <w:p>
      <w:pPr>
        <w:pStyle w:val="12"/>
        <w:tabs>
          <w:tab w:val="right" w:leader="dot" w:pos="8306"/>
        </w:tabs>
      </w:pPr>
      <w:r>
        <w:rPr>
          <w:color w:val="auto"/>
        </w:rPr>
        <w:fldChar w:fldCharType="begin"/>
      </w:r>
      <w:r>
        <w:instrText xml:space="preserve"> HYPERLINK \l _Toc16422 </w:instrText>
      </w:r>
      <w:r>
        <w:fldChar w:fldCharType="separate"/>
      </w:r>
      <w:r>
        <w:rPr>
          <w:rFonts w:hint="eastAsia"/>
          <w:lang w:val="en-US" w:eastAsia="zh-CN"/>
        </w:rPr>
        <w:t>4.2先期处置</w:t>
      </w:r>
      <w:r>
        <w:tab/>
      </w:r>
      <w:r>
        <w:fldChar w:fldCharType="begin"/>
      </w:r>
      <w:r>
        <w:instrText xml:space="preserve"> PAGEREF _Toc16422 \h </w:instrText>
      </w:r>
      <w:r>
        <w:fldChar w:fldCharType="separate"/>
      </w:r>
      <w:r>
        <w:t>1</w:t>
      </w:r>
      <w:r>
        <w:rPr>
          <w:rFonts w:hint="eastAsia"/>
          <w:lang w:val="en-US" w:eastAsia="zh-CN"/>
        </w:rPr>
        <w:t>6</w:t>
      </w:r>
      <w:r>
        <w:fldChar w:fldCharType="end"/>
      </w:r>
      <w:r>
        <w:rPr>
          <w:color w:val="auto"/>
        </w:rPr>
        <w:fldChar w:fldCharType="end"/>
      </w:r>
    </w:p>
    <w:p>
      <w:pPr>
        <w:pStyle w:val="12"/>
        <w:tabs>
          <w:tab w:val="right" w:leader="dot" w:pos="8306"/>
        </w:tabs>
      </w:pPr>
      <w:r>
        <w:rPr>
          <w:color w:val="auto"/>
        </w:rPr>
        <w:fldChar w:fldCharType="begin"/>
      </w:r>
      <w:r>
        <w:instrText xml:space="preserve"> HYPERLINK \l _Toc15520 </w:instrText>
      </w:r>
      <w:r>
        <w:fldChar w:fldCharType="separate"/>
      </w:r>
      <w:r>
        <w:rPr>
          <w:rFonts w:hint="eastAsia"/>
          <w:lang w:val="en-US" w:eastAsia="zh-CN"/>
        </w:rPr>
        <w:t>4.3指挥协调</w:t>
      </w:r>
      <w:r>
        <w:tab/>
      </w:r>
      <w:r>
        <w:fldChar w:fldCharType="begin"/>
      </w:r>
      <w:r>
        <w:instrText xml:space="preserve"> PAGEREF _Toc15520 \h </w:instrText>
      </w:r>
      <w:r>
        <w:fldChar w:fldCharType="separate"/>
      </w:r>
      <w:r>
        <w:t>1</w:t>
      </w:r>
      <w:r>
        <w:rPr>
          <w:rFonts w:hint="eastAsia"/>
          <w:lang w:val="en-US" w:eastAsia="zh-CN"/>
        </w:rPr>
        <w:t>7</w:t>
      </w:r>
      <w:r>
        <w:fldChar w:fldCharType="end"/>
      </w:r>
      <w:r>
        <w:rPr>
          <w:color w:val="auto"/>
        </w:rPr>
        <w:fldChar w:fldCharType="end"/>
      </w:r>
    </w:p>
    <w:p>
      <w:pPr>
        <w:pStyle w:val="12"/>
        <w:tabs>
          <w:tab w:val="right" w:leader="dot" w:pos="8306"/>
        </w:tabs>
        <w:rPr>
          <w:rFonts w:hint="eastAsia" w:eastAsiaTheme="minorEastAsia"/>
          <w:lang w:val="en-US" w:eastAsia="zh-CN"/>
        </w:rPr>
      </w:pPr>
      <w:r>
        <w:rPr>
          <w:color w:val="auto"/>
        </w:rPr>
        <w:fldChar w:fldCharType="begin"/>
      </w:r>
      <w:r>
        <w:instrText xml:space="preserve"> HYPERLINK \l _Toc6034 </w:instrText>
      </w:r>
      <w:r>
        <w:fldChar w:fldCharType="separate"/>
      </w:r>
      <w:r>
        <w:rPr>
          <w:rFonts w:hint="eastAsia"/>
          <w:lang w:val="en-US" w:eastAsia="zh-CN"/>
        </w:rPr>
        <w:t>4.4处置措施</w:t>
      </w:r>
      <w:r>
        <w:tab/>
      </w:r>
      <w:r>
        <w:rPr>
          <w:rFonts w:hint="eastAsia"/>
          <w:lang w:val="en-US" w:eastAsia="zh-CN"/>
        </w:rPr>
        <w:t>1</w:t>
      </w:r>
      <w:r>
        <w:rPr>
          <w:color w:val="auto"/>
        </w:rPr>
        <w:fldChar w:fldCharType="end"/>
      </w:r>
      <w:r>
        <w:rPr>
          <w:rFonts w:hint="eastAsia"/>
          <w:color w:val="auto"/>
          <w:lang w:val="en-US" w:eastAsia="zh-CN"/>
        </w:rPr>
        <w:t>9</w:t>
      </w:r>
    </w:p>
    <w:p>
      <w:pPr>
        <w:pStyle w:val="12"/>
        <w:tabs>
          <w:tab w:val="right" w:leader="dot" w:pos="8306"/>
        </w:tabs>
        <w:rPr>
          <w:rFonts w:hint="eastAsia" w:eastAsiaTheme="minorEastAsia"/>
          <w:lang w:val="en-US" w:eastAsia="zh-CN"/>
        </w:rPr>
      </w:pPr>
      <w:r>
        <w:rPr>
          <w:color w:val="auto"/>
        </w:rPr>
        <w:fldChar w:fldCharType="begin"/>
      </w:r>
      <w:r>
        <w:instrText xml:space="preserve"> HYPERLINK \l _Toc26953 </w:instrText>
      </w:r>
      <w:r>
        <w:fldChar w:fldCharType="separate"/>
      </w:r>
      <w:r>
        <w:rPr>
          <w:rFonts w:hint="eastAsia"/>
          <w:lang w:val="en-US" w:eastAsia="zh-CN"/>
        </w:rPr>
        <w:t>4.5信息发布与舆论引导</w:t>
      </w:r>
      <w:r>
        <w:tab/>
      </w:r>
      <w:r>
        <w:rPr>
          <w:rFonts w:hint="eastAsia"/>
          <w:lang w:val="en-US" w:eastAsia="zh-CN"/>
        </w:rPr>
        <w:t>2</w:t>
      </w:r>
      <w:r>
        <w:rPr>
          <w:color w:val="auto"/>
        </w:rPr>
        <w:fldChar w:fldCharType="end"/>
      </w:r>
      <w:r>
        <w:rPr>
          <w:rFonts w:hint="eastAsia"/>
          <w:color w:val="auto"/>
          <w:lang w:val="en-US" w:eastAsia="zh-CN"/>
        </w:rPr>
        <w:t>2</w:t>
      </w:r>
    </w:p>
    <w:p>
      <w:pPr>
        <w:pStyle w:val="12"/>
        <w:tabs>
          <w:tab w:val="right" w:leader="dot" w:pos="8306"/>
        </w:tabs>
      </w:pPr>
      <w:r>
        <w:rPr>
          <w:color w:val="auto"/>
        </w:rPr>
        <w:fldChar w:fldCharType="begin"/>
      </w:r>
      <w:r>
        <w:instrText xml:space="preserve"> HYPERLINK \l _Toc4463 </w:instrText>
      </w:r>
      <w:r>
        <w:fldChar w:fldCharType="separate"/>
      </w:r>
      <w:r>
        <w:rPr>
          <w:rFonts w:hint="eastAsia"/>
          <w:lang w:val="en-US" w:eastAsia="zh-CN"/>
        </w:rPr>
        <w:t>4.6应急结束</w:t>
      </w:r>
      <w:r>
        <w:tab/>
      </w:r>
      <w:r>
        <w:fldChar w:fldCharType="begin"/>
      </w:r>
      <w:r>
        <w:instrText xml:space="preserve"> PAGEREF _Toc4463 \h </w:instrText>
      </w:r>
      <w:r>
        <w:fldChar w:fldCharType="separate"/>
      </w:r>
      <w:r>
        <w:t>2</w:t>
      </w:r>
      <w:r>
        <w:rPr>
          <w:rFonts w:hint="eastAsia"/>
          <w:lang w:val="en-US" w:eastAsia="zh-CN"/>
        </w:rPr>
        <w:t>4</w:t>
      </w:r>
      <w:r>
        <w:fldChar w:fldCharType="end"/>
      </w:r>
      <w:r>
        <w:rPr>
          <w:color w:val="auto"/>
        </w:rPr>
        <w:fldChar w:fldCharType="end"/>
      </w:r>
    </w:p>
    <w:p>
      <w:pPr>
        <w:pStyle w:val="11"/>
        <w:tabs>
          <w:tab w:val="right" w:leader="dot" w:pos="8306"/>
        </w:tabs>
      </w:pPr>
      <w:r>
        <w:rPr>
          <w:color w:val="auto"/>
        </w:rPr>
        <w:fldChar w:fldCharType="begin"/>
      </w:r>
      <w:r>
        <w:instrText xml:space="preserve"> HYPERLINK \l _Toc12877 </w:instrText>
      </w:r>
      <w:r>
        <w:fldChar w:fldCharType="separate"/>
      </w:r>
      <w:r>
        <w:rPr>
          <w:rFonts w:hint="eastAsia"/>
          <w:lang w:val="en-US" w:eastAsia="zh-CN"/>
        </w:rPr>
        <w:t>5后期处置</w:t>
      </w:r>
      <w:r>
        <w:tab/>
      </w:r>
      <w:r>
        <w:fldChar w:fldCharType="begin"/>
      </w:r>
      <w:r>
        <w:instrText xml:space="preserve"> PAGEREF _Toc12877 \h </w:instrText>
      </w:r>
      <w:r>
        <w:fldChar w:fldCharType="separate"/>
      </w:r>
      <w:r>
        <w:t>2</w:t>
      </w:r>
      <w:r>
        <w:rPr>
          <w:rFonts w:hint="eastAsia"/>
          <w:lang w:val="en-US" w:eastAsia="zh-CN"/>
        </w:rPr>
        <w:t>4</w:t>
      </w:r>
      <w:r>
        <w:fldChar w:fldCharType="end"/>
      </w:r>
      <w:r>
        <w:rPr>
          <w:color w:val="auto"/>
        </w:rPr>
        <w:fldChar w:fldCharType="end"/>
      </w:r>
    </w:p>
    <w:p>
      <w:pPr>
        <w:pStyle w:val="12"/>
        <w:tabs>
          <w:tab w:val="right" w:leader="dot" w:pos="8306"/>
        </w:tabs>
      </w:pPr>
      <w:r>
        <w:rPr>
          <w:color w:val="auto"/>
        </w:rPr>
        <w:fldChar w:fldCharType="begin"/>
      </w:r>
      <w:r>
        <w:instrText xml:space="preserve"> HYPERLINK \l _Toc28721 </w:instrText>
      </w:r>
      <w:r>
        <w:fldChar w:fldCharType="separate"/>
      </w:r>
      <w:r>
        <w:rPr>
          <w:rFonts w:hint="eastAsia"/>
          <w:lang w:val="en-US" w:eastAsia="zh-CN"/>
        </w:rPr>
        <w:t>5.1善后处置</w:t>
      </w:r>
      <w:r>
        <w:tab/>
      </w:r>
      <w:r>
        <w:fldChar w:fldCharType="begin"/>
      </w:r>
      <w:r>
        <w:instrText xml:space="preserve"> PAGEREF _Toc28721 \h </w:instrText>
      </w:r>
      <w:r>
        <w:fldChar w:fldCharType="separate"/>
      </w:r>
      <w:r>
        <w:t>2</w:t>
      </w:r>
      <w:r>
        <w:rPr>
          <w:rFonts w:hint="eastAsia"/>
          <w:lang w:val="en-US" w:eastAsia="zh-CN"/>
        </w:rPr>
        <w:t>4</w:t>
      </w:r>
      <w:r>
        <w:fldChar w:fldCharType="end"/>
      </w:r>
      <w:r>
        <w:rPr>
          <w:color w:val="auto"/>
        </w:rPr>
        <w:fldChar w:fldCharType="end"/>
      </w:r>
    </w:p>
    <w:p>
      <w:pPr>
        <w:pStyle w:val="12"/>
        <w:tabs>
          <w:tab w:val="right" w:leader="dot" w:pos="8306"/>
        </w:tabs>
      </w:pPr>
      <w:r>
        <w:rPr>
          <w:color w:val="auto"/>
        </w:rPr>
        <w:fldChar w:fldCharType="begin"/>
      </w:r>
      <w:r>
        <w:instrText xml:space="preserve"> HYPERLINK \l _Toc20409 </w:instrText>
      </w:r>
      <w:r>
        <w:fldChar w:fldCharType="separate"/>
      </w:r>
      <w:r>
        <w:rPr>
          <w:rFonts w:hint="eastAsia"/>
          <w:lang w:val="en-US" w:eastAsia="zh-CN"/>
        </w:rPr>
        <w:t>5.2恢复重建</w:t>
      </w:r>
      <w:r>
        <w:tab/>
      </w:r>
      <w:r>
        <w:fldChar w:fldCharType="begin"/>
      </w:r>
      <w:r>
        <w:instrText xml:space="preserve"> PAGEREF _Toc20409 \h </w:instrText>
      </w:r>
      <w:r>
        <w:fldChar w:fldCharType="separate"/>
      </w:r>
      <w:r>
        <w:t>2</w:t>
      </w:r>
      <w:r>
        <w:rPr>
          <w:rFonts w:hint="eastAsia"/>
          <w:lang w:val="en-US" w:eastAsia="zh-CN"/>
        </w:rPr>
        <w:t>5</w:t>
      </w:r>
      <w:r>
        <w:fldChar w:fldCharType="end"/>
      </w:r>
      <w:r>
        <w:rPr>
          <w:color w:val="auto"/>
        </w:rPr>
        <w:fldChar w:fldCharType="end"/>
      </w:r>
    </w:p>
    <w:p>
      <w:pPr>
        <w:pStyle w:val="12"/>
        <w:tabs>
          <w:tab w:val="right" w:leader="dot" w:pos="8306"/>
        </w:tabs>
      </w:pPr>
      <w:r>
        <w:rPr>
          <w:color w:val="auto"/>
        </w:rPr>
        <w:fldChar w:fldCharType="begin"/>
      </w:r>
      <w:r>
        <w:instrText xml:space="preserve"> HYPERLINK \l _Toc13688 </w:instrText>
      </w:r>
      <w:r>
        <w:fldChar w:fldCharType="separate"/>
      </w:r>
      <w:r>
        <w:rPr>
          <w:rFonts w:hint="eastAsia"/>
          <w:lang w:val="en-US" w:eastAsia="zh-CN"/>
        </w:rPr>
        <w:t>5.3调查与评估</w:t>
      </w:r>
      <w:r>
        <w:tab/>
      </w:r>
      <w:r>
        <w:fldChar w:fldCharType="begin"/>
      </w:r>
      <w:r>
        <w:instrText xml:space="preserve"> PAGEREF _Toc13688 \h </w:instrText>
      </w:r>
      <w:r>
        <w:fldChar w:fldCharType="separate"/>
      </w:r>
      <w:r>
        <w:t>2</w:t>
      </w:r>
      <w:r>
        <w:rPr>
          <w:rFonts w:hint="eastAsia"/>
          <w:lang w:val="en-US" w:eastAsia="zh-CN"/>
        </w:rPr>
        <w:t>5</w:t>
      </w:r>
      <w:r>
        <w:fldChar w:fldCharType="end"/>
      </w:r>
      <w:r>
        <w:rPr>
          <w:color w:val="auto"/>
        </w:rPr>
        <w:fldChar w:fldCharType="end"/>
      </w:r>
    </w:p>
    <w:p>
      <w:pPr>
        <w:pStyle w:val="11"/>
        <w:tabs>
          <w:tab w:val="right" w:leader="dot" w:pos="8306"/>
        </w:tabs>
      </w:pPr>
      <w:r>
        <w:rPr>
          <w:color w:val="auto"/>
        </w:rPr>
        <w:fldChar w:fldCharType="begin"/>
      </w:r>
      <w:r>
        <w:instrText xml:space="preserve"> HYPERLINK \l _Toc18279 </w:instrText>
      </w:r>
      <w:r>
        <w:fldChar w:fldCharType="separate"/>
      </w:r>
      <w:r>
        <w:rPr>
          <w:rFonts w:hint="eastAsia"/>
          <w:lang w:val="en-US" w:eastAsia="zh-CN"/>
        </w:rPr>
        <w:t>6支持与保障</w:t>
      </w:r>
      <w:r>
        <w:tab/>
      </w:r>
      <w:r>
        <w:fldChar w:fldCharType="begin"/>
      </w:r>
      <w:r>
        <w:instrText xml:space="preserve"> PAGEREF _Toc18279 \h </w:instrText>
      </w:r>
      <w:r>
        <w:fldChar w:fldCharType="separate"/>
      </w:r>
      <w:r>
        <w:t>2</w:t>
      </w:r>
      <w:r>
        <w:rPr>
          <w:rFonts w:hint="eastAsia"/>
          <w:lang w:val="en-US" w:eastAsia="zh-CN"/>
        </w:rPr>
        <w:t>6</w:t>
      </w:r>
      <w:r>
        <w:fldChar w:fldCharType="end"/>
      </w:r>
      <w:r>
        <w:rPr>
          <w:color w:val="auto"/>
        </w:rPr>
        <w:fldChar w:fldCharType="end"/>
      </w:r>
    </w:p>
    <w:p>
      <w:pPr>
        <w:pStyle w:val="12"/>
        <w:tabs>
          <w:tab w:val="right" w:leader="dot" w:pos="8306"/>
        </w:tabs>
      </w:pPr>
      <w:r>
        <w:rPr>
          <w:color w:val="auto"/>
        </w:rPr>
        <w:fldChar w:fldCharType="begin"/>
      </w:r>
      <w:r>
        <w:instrText xml:space="preserve"> HYPERLINK \l _Toc6018 </w:instrText>
      </w:r>
      <w:r>
        <w:fldChar w:fldCharType="separate"/>
      </w:r>
      <w:r>
        <w:rPr>
          <w:rFonts w:hint="eastAsia"/>
          <w:lang w:val="en-US" w:eastAsia="zh-CN"/>
        </w:rPr>
        <w:t>6.1人力资源</w:t>
      </w:r>
      <w:r>
        <w:tab/>
      </w:r>
      <w:r>
        <w:fldChar w:fldCharType="begin"/>
      </w:r>
      <w:r>
        <w:instrText xml:space="preserve"> PAGEREF _Toc6018 \h </w:instrText>
      </w:r>
      <w:r>
        <w:fldChar w:fldCharType="separate"/>
      </w:r>
      <w:r>
        <w:t>2</w:t>
      </w:r>
      <w:r>
        <w:rPr>
          <w:rFonts w:hint="eastAsia"/>
          <w:lang w:val="en-US" w:eastAsia="zh-CN"/>
        </w:rPr>
        <w:t>6</w:t>
      </w:r>
      <w:r>
        <w:fldChar w:fldCharType="end"/>
      </w:r>
      <w:r>
        <w:rPr>
          <w:color w:val="auto"/>
        </w:rPr>
        <w:fldChar w:fldCharType="end"/>
      </w:r>
    </w:p>
    <w:p>
      <w:pPr>
        <w:pStyle w:val="12"/>
        <w:tabs>
          <w:tab w:val="right" w:leader="dot" w:pos="8306"/>
        </w:tabs>
      </w:pPr>
      <w:r>
        <w:rPr>
          <w:color w:val="auto"/>
        </w:rPr>
        <w:fldChar w:fldCharType="begin"/>
      </w:r>
      <w:r>
        <w:instrText xml:space="preserve"> HYPERLINK \l _Toc26407 </w:instrText>
      </w:r>
      <w:r>
        <w:fldChar w:fldCharType="separate"/>
      </w:r>
      <w:r>
        <w:rPr>
          <w:rFonts w:hint="eastAsia"/>
          <w:lang w:val="en-US" w:eastAsia="zh-CN"/>
        </w:rPr>
        <w:t>6.2财力支持</w:t>
      </w:r>
      <w:r>
        <w:tab/>
      </w:r>
      <w:r>
        <w:fldChar w:fldCharType="begin"/>
      </w:r>
      <w:r>
        <w:instrText xml:space="preserve"> PAGEREF _Toc26407 \h </w:instrText>
      </w:r>
      <w:r>
        <w:fldChar w:fldCharType="separate"/>
      </w:r>
      <w:r>
        <w:t>2</w:t>
      </w:r>
      <w:r>
        <w:rPr>
          <w:rFonts w:hint="eastAsia"/>
          <w:lang w:val="en-US" w:eastAsia="zh-CN"/>
        </w:rPr>
        <w:t>7</w:t>
      </w:r>
      <w:r>
        <w:fldChar w:fldCharType="end"/>
      </w:r>
      <w:r>
        <w:rPr>
          <w:color w:val="auto"/>
        </w:rPr>
        <w:fldChar w:fldCharType="end"/>
      </w:r>
    </w:p>
    <w:p>
      <w:pPr>
        <w:pStyle w:val="12"/>
        <w:tabs>
          <w:tab w:val="right" w:leader="dot" w:pos="8306"/>
        </w:tabs>
      </w:pPr>
      <w:r>
        <w:rPr>
          <w:color w:val="auto"/>
        </w:rPr>
        <w:fldChar w:fldCharType="begin"/>
      </w:r>
      <w:r>
        <w:instrText xml:space="preserve"> HYPERLINK \l _Toc840 </w:instrText>
      </w:r>
      <w:r>
        <w:fldChar w:fldCharType="separate"/>
      </w:r>
      <w:r>
        <w:rPr>
          <w:rFonts w:hint="eastAsia"/>
          <w:lang w:val="en-US" w:eastAsia="zh-CN"/>
        </w:rPr>
        <w:t>6.3物资装备</w:t>
      </w:r>
      <w:r>
        <w:tab/>
      </w:r>
      <w:r>
        <w:fldChar w:fldCharType="begin"/>
      </w:r>
      <w:r>
        <w:instrText xml:space="preserve"> PAGEREF _Toc840 \h </w:instrText>
      </w:r>
      <w:r>
        <w:fldChar w:fldCharType="separate"/>
      </w:r>
      <w:r>
        <w:t>2</w:t>
      </w:r>
      <w:r>
        <w:rPr>
          <w:rFonts w:hint="eastAsia"/>
          <w:lang w:val="en-US" w:eastAsia="zh-CN"/>
        </w:rPr>
        <w:t>8</w:t>
      </w:r>
      <w:r>
        <w:fldChar w:fldCharType="end"/>
      </w:r>
      <w:r>
        <w:rPr>
          <w:color w:val="auto"/>
        </w:rPr>
        <w:fldChar w:fldCharType="end"/>
      </w:r>
    </w:p>
    <w:p>
      <w:pPr>
        <w:pStyle w:val="12"/>
        <w:tabs>
          <w:tab w:val="right" w:leader="dot" w:pos="8306"/>
        </w:tabs>
        <w:rPr>
          <w:rFonts w:hint="eastAsia" w:eastAsiaTheme="minorEastAsia"/>
          <w:lang w:val="en-US" w:eastAsia="zh-CN"/>
        </w:rPr>
      </w:pPr>
      <w:r>
        <w:rPr>
          <w:color w:val="auto"/>
        </w:rPr>
        <w:fldChar w:fldCharType="begin"/>
      </w:r>
      <w:r>
        <w:instrText xml:space="preserve"> HYPERLINK \l _Toc27883 </w:instrText>
      </w:r>
      <w:r>
        <w:fldChar w:fldCharType="separate"/>
      </w:r>
      <w:r>
        <w:rPr>
          <w:rFonts w:hint="eastAsia"/>
          <w:lang w:val="en-US" w:eastAsia="zh-CN"/>
        </w:rPr>
        <w:t>6.4科技支撑</w:t>
      </w:r>
      <w:r>
        <w:tab/>
      </w:r>
      <w:r>
        <w:rPr>
          <w:rFonts w:hint="eastAsia"/>
          <w:lang w:val="en-US" w:eastAsia="zh-CN"/>
        </w:rPr>
        <w:t>2</w:t>
      </w:r>
      <w:r>
        <w:rPr>
          <w:color w:val="auto"/>
        </w:rPr>
        <w:fldChar w:fldCharType="end"/>
      </w:r>
      <w:r>
        <w:rPr>
          <w:rFonts w:hint="eastAsia"/>
          <w:color w:val="auto"/>
          <w:lang w:val="en-US" w:eastAsia="zh-CN"/>
        </w:rPr>
        <w:t>8</w:t>
      </w:r>
    </w:p>
    <w:p>
      <w:pPr>
        <w:pStyle w:val="11"/>
        <w:tabs>
          <w:tab w:val="right" w:leader="dot" w:pos="8306"/>
        </w:tabs>
        <w:rPr>
          <w:rFonts w:hint="eastAsia" w:eastAsiaTheme="minorEastAsia"/>
          <w:lang w:val="en-US" w:eastAsia="zh-CN"/>
        </w:rPr>
      </w:pPr>
      <w:r>
        <w:rPr>
          <w:color w:val="auto"/>
        </w:rPr>
        <w:fldChar w:fldCharType="begin"/>
      </w:r>
      <w:r>
        <w:instrText xml:space="preserve"> HYPERLINK \l _Toc6238 </w:instrText>
      </w:r>
      <w:r>
        <w:fldChar w:fldCharType="separate"/>
      </w:r>
      <w:r>
        <w:rPr>
          <w:rFonts w:hint="eastAsia"/>
          <w:lang w:val="en-US" w:eastAsia="zh-CN"/>
        </w:rPr>
        <w:t>7预案管理</w:t>
      </w:r>
      <w:r>
        <w:tab/>
      </w:r>
      <w:r>
        <w:rPr>
          <w:rFonts w:hint="eastAsia"/>
          <w:lang w:val="en-US" w:eastAsia="zh-CN"/>
        </w:rPr>
        <w:t>2</w:t>
      </w:r>
      <w:r>
        <w:rPr>
          <w:color w:val="auto"/>
        </w:rPr>
        <w:fldChar w:fldCharType="end"/>
      </w:r>
      <w:r>
        <w:rPr>
          <w:rFonts w:hint="eastAsia"/>
          <w:color w:val="auto"/>
          <w:lang w:val="en-US" w:eastAsia="zh-CN"/>
        </w:rPr>
        <w:t>9</w:t>
      </w:r>
    </w:p>
    <w:p>
      <w:pPr>
        <w:pStyle w:val="12"/>
        <w:tabs>
          <w:tab w:val="right" w:leader="dot" w:pos="8306"/>
        </w:tabs>
        <w:rPr>
          <w:rFonts w:hint="eastAsia" w:eastAsiaTheme="minorEastAsia"/>
          <w:lang w:val="en-US" w:eastAsia="zh-CN"/>
        </w:rPr>
      </w:pPr>
      <w:r>
        <w:rPr>
          <w:color w:val="auto"/>
        </w:rPr>
        <w:fldChar w:fldCharType="begin"/>
      </w:r>
      <w:r>
        <w:instrText xml:space="preserve"> HYPERLINK \l _Toc13722 </w:instrText>
      </w:r>
      <w:r>
        <w:fldChar w:fldCharType="separate"/>
      </w:r>
      <w:r>
        <w:rPr>
          <w:rFonts w:hint="eastAsia"/>
          <w:lang w:val="en-US" w:eastAsia="zh-CN"/>
        </w:rPr>
        <w:t>7.1预案规划与编制</w:t>
      </w:r>
      <w:r>
        <w:tab/>
      </w:r>
      <w:r>
        <w:rPr>
          <w:rFonts w:hint="eastAsia"/>
          <w:lang w:val="en-US" w:eastAsia="zh-CN"/>
        </w:rPr>
        <w:t>2</w:t>
      </w:r>
      <w:r>
        <w:rPr>
          <w:color w:val="auto"/>
        </w:rPr>
        <w:fldChar w:fldCharType="end"/>
      </w:r>
      <w:r>
        <w:rPr>
          <w:rFonts w:hint="eastAsia"/>
          <w:color w:val="auto"/>
          <w:lang w:val="en-US" w:eastAsia="zh-CN"/>
        </w:rPr>
        <w:t>9</w:t>
      </w:r>
    </w:p>
    <w:p>
      <w:pPr>
        <w:pStyle w:val="12"/>
        <w:tabs>
          <w:tab w:val="right" w:leader="dot" w:pos="8306"/>
        </w:tabs>
      </w:pPr>
      <w:r>
        <w:rPr>
          <w:color w:val="auto"/>
        </w:rPr>
        <w:fldChar w:fldCharType="begin"/>
      </w:r>
      <w:r>
        <w:instrText xml:space="preserve"> HYPERLINK \l _Toc13593 </w:instrText>
      </w:r>
      <w:r>
        <w:fldChar w:fldCharType="separate"/>
      </w:r>
      <w:r>
        <w:rPr>
          <w:rFonts w:hint="eastAsia"/>
          <w:lang w:val="en-US" w:eastAsia="zh-CN"/>
        </w:rPr>
        <w:t>7.2预案审批与衔接</w:t>
      </w:r>
      <w:r>
        <w:tab/>
      </w:r>
      <w:r>
        <w:fldChar w:fldCharType="begin"/>
      </w:r>
      <w:r>
        <w:instrText xml:space="preserve"> PAGEREF _Toc13593 \h </w:instrText>
      </w:r>
      <w:r>
        <w:fldChar w:fldCharType="separate"/>
      </w:r>
      <w:r>
        <w:t>3</w:t>
      </w:r>
      <w:r>
        <w:rPr>
          <w:rFonts w:hint="eastAsia"/>
          <w:lang w:val="en-US" w:eastAsia="zh-CN"/>
        </w:rPr>
        <w:t>0</w:t>
      </w:r>
      <w:r>
        <w:fldChar w:fldCharType="end"/>
      </w:r>
      <w:r>
        <w:rPr>
          <w:color w:val="auto"/>
        </w:rPr>
        <w:fldChar w:fldCharType="end"/>
      </w:r>
    </w:p>
    <w:p>
      <w:pPr>
        <w:pStyle w:val="12"/>
        <w:tabs>
          <w:tab w:val="right" w:leader="dot" w:pos="8306"/>
        </w:tabs>
      </w:pPr>
      <w:r>
        <w:rPr>
          <w:color w:val="auto"/>
        </w:rPr>
        <w:fldChar w:fldCharType="begin"/>
      </w:r>
      <w:r>
        <w:instrText xml:space="preserve"> HYPERLINK \l _Toc20279 </w:instrText>
      </w:r>
      <w:r>
        <w:fldChar w:fldCharType="separate"/>
      </w:r>
      <w:r>
        <w:rPr>
          <w:rFonts w:hint="eastAsia"/>
          <w:lang w:val="en-US" w:eastAsia="zh-CN"/>
        </w:rPr>
        <w:t>7.3预案演练</w:t>
      </w:r>
      <w:r>
        <w:tab/>
      </w:r>
      <w:r>
        <w:fldChar w:fldCharType="begin"/>
      </w:r>
      <w:r>
        <w:instrText xml:space="preserve"> PAGEREF _Toc20279 \h </w:instrText>
      </w:r>
      <w:r>
        <w:fldChar w:fldCharType="separate"/>
      </w:r>
      <w:r>
        <w:t>3</w:t>
      </w:r>
      <w:r>
        <w:rPr>
          <w:rFonts w:hint="eastAsia"/>
          <w:lang w:val="en-US" w:eastAsia="zh-CN"/>
        </w:rPr>
        <w:t>1</w:t>
      </w:r>
      <w:r>
        <w:fldChar w:fldCharType="end"/>
      </w:r>
      <w:r>
        <w:rPr>
          <w:color w:val="auto"/>
        </w:rPr>
        <w:fldChar w:fldCharType="end"/>
      </w:r>
    </w:p>
    <w:p>
      <w:pPr>
        <w:pStyle w:val="12"/>
        <w:tabs>
          <w:tab w:val="right" w:leader="dot" w:pos="8306"/>
        </w:tabs>
      </w:pPr>
      <w:r>
        <w:rPr>
          <w:color w:val="auto"/>
        </w:rPr>
        <w:fldChar w:fldCharType="begin"/>
      </w:r>
      <w:r>
        <w:instrText xml:space="preserve"> HYPERLINK \l _Toc7293 </w:instrText>
      </w:r>
      <w:r>
        <w:fldChar w:fldCharType="separate"/>
      </w:r>
      <w:r>
        <w:rPr>
          <w:rFonts w:hint="eastAsia"/>
          <w:lang w:val="en-US" w:eastAsia="zh-CN"/>
        </w:rPr>
        <w:t>7.4预案评估与修订</w:t>
      </w:r>
      <w:r>
        <w:tab/>
      </w:r>
      <w:r>
        <w:fldChar w:fldCharType="begin"/>
      </w:r>
      <w:r>
        <w:instrText xml:space="preserve"> PAGEREF _Toc7293 \h </w:instrText>
      </w:r>
      <w:r>
        <w:fldChar w:fldCharType="separate"/>
      </w:r>
      <w:r>
        <w:t>3</w:t>
      </w:r>
      <w:r>
        <w:rPr>
          <w:rFonts w:hint="eastAsia"/>
          <w:lang w:val="en-US" w:eastAsia="zh-CN"/>
        </w:rPr>
        <w:t>2</w:t>
      </w:r>
      <w:r>
        <w:fldChar w:fldCharType="end"/>
      </w:r>
      <w:r>
        <w:rPr>
          <w:color w:val="auto"/>
        </w:rPr>
        <w:fldChar w:fldCharType="end"/>
      </w:r>
    </w:p>
    <w:p>
      <w:pPr>
        <w:pStyle w:val="11"/>
        <w:tabs>
          <w:tab w:val="right" w:leader="dot" w:pos="8306"/>
        </w:tabs>
      </w:pPr>
      <w:r>
        <w:rPr>
          <w:color w:val="auto"/>
        </w:rPr>
        <w:fldChar w:fldCharType="begin"/>
      </w:r>
      <w:r>
        <w:instrText xml:space="preserve"> HYPERLINK \l _Toc29051 </w:instrText>
      </w:r>
      <w:r>
        <w:fldChar w:fldCharType="separate"/>
      </w:r>
      <w:r>
        <w:rPr>
          <w:rFonts w:hint="eastAsia"/>
          <w:lang w:val="en-US" w:eastAsia="zh-CN"/>
        </w:rPr>
        <w:t>8附则</w:t>
      </w:r>
      <w:r>
        <w:tab/>
      </w:r>
      <w:r>
        <w:fldChar w:fldCharType="begin"/>
      </w:r>
      <w:r>
        <w:instrText xml:space="preserve"> PAGEREF _Toc29051 \h </w:instrText>
      </w:r>
      <w:r>
        <w:fldChar w:fldCharType="separate"/>
      </w:r>
      <w:r>
        <w:t>3</w:t>
      </w:r>
      <w:r>
        <w:rPr>
          <w:rFonts w:hint="eastAsia"/>
          <w:lang w:val="en-US" w:eastAsia="zh-CN"/>
        </w:rPr>
        <w:t>2</w:t>
      </w:r>
      <w:r>
        <w:fldChar w:fldCharType="end"/>
      </w:r>
      <w:r>
        <w:rPr>
          <w:color w:val="auto"/>
        </w:rPr>
        <w:fldChar w:fldCharType="end"/>
      </w:r>
    </w:p>
    <w:p>
      <w:pPr>
        <w:pStyle w:val="12"/>
        <w:tabs>
          <w:tab w:val="right" w:leader="dot" w:pos="8306"/>
        </w:tabs>
      </w:pPr>
      <w:r>
        <w:rPr>
          <w:color w:val="auto"/>
        </w:rPr>
        <w:fldChar w:fldCharType="begin"/>
      </w:r>
      <w:r>
        <w:instrText xml:space="preserve"> HYPERLINK \l _Toc19713 </w:instrText>
      </w:r>
      <w:r>
        <w:fldChar w:fldCharType="separate"/>
      </w:r>
      <w:r>
        <w:rPr>
          <w:rFonts w:hint="eastAsia"/>
          <w:lang w:val="en-US" w:eastAsia="zh-CN"/>
        </w:rPr>
        <w:t>8.1宣传和培训</w:t>
      </w:r>
      <w:r>
        <w:tab/>
      </w:r>
      <w:r>
        <w:fldChar w:fldCharType="begin"/>
      </w:r>
      <w:r>
        <w:instrText xml:space="preserve"> PAGEREF _Toc19713 \h </w:instrText>
      </w:r>
      <w:r>
        <w:fldChar w:fldCharType="separate"/>
      </w:r>
      <w:r>
        <w:t>3</w:t>
      </w:r>
      <w:r>
        <w:rPr>
          <w:rFonts w:hint="eastAsia"/>
          <w:lang w:val="en-US" w:eastAsia="zh-CN"/>
        </w:rPr>
        <w:t>2</w:t>
      </w:r>
      <w:r>
        <w:fldChar w:fldCharType="end"/>
      </w:r>
      <w:r>
        <w:rPr>
          <w:color w:val="auto"/>
        </w:rPr>
        <w:fldChar w:fldCharType="end"/>
      </w:r>
    </w:p>
    <w:p>
      <w:pPr>
        <w:pStyle w:val="12"/>
        <w:tabs>
          <w:tab w:val="right" w:leader="dot" w:pos="8306"/>
        </w:tabs>
      </w:pPr>
      <w:r>
        <w:rPr>
          <w:color w:val="auto"/>
        </w:rPr>
        <w:fldChar w:fldCharType="begin"/>
      </w:r>
      <w:r>
        <w:instrText xml:space="preserve"> HYPERLINK \l _Toc14364 </w:instrText>
      </w:r>
      <w:r>
        <w:fldChar w:fldCharType="separate"/>
      </w:r>
      <w:r>
        <w:rPr>
          <w:rFonts w:hint="eastAsia"/>
          <w:lang w:val="en-US" w:eastAsia="zh-CN"/>
        </w:rPr>
        <w:t>8.2责任与奖惩</w:t>
      </w:r>
      <w:r>
        <w:tab/>
      </w:r>
      <w:r>
        <w:fldChar w:fldCharType="begin"/>
      </w:r>
      <w:r>
        <w:instrText xml:space="preserve"> PAGEREF _Toc14364 \h </w:instrText>
      </w:r>
      <w:r>
        <w:fldChar w:fldCharType="separate"/>
      </w:r>
      <w:r>
        <w:t>3</w:t>
      </w:r>
      <w:r>
        <w:rPr>
          <w:rFonts w:hint="eastAsia"/>
          <w:lang w:val="en-US" w:eastAsia="zh-CN"/>
        </w:rPr>
        <w:t>3</w:t>
      </w:r>
      <w:r>
        <w:fldChar w:fldCharType="end"/>
      </w:r>
      <w:r>
        <w:rPr>
          <w:color w:val="auto"/>
        </w:rPr>
        <w:fldChar w:fldCharType="end"/>
      </w:r>
    </w:p>
    <w:p>
      <w:pPr>
        <w:pStyle w:val="12"/>
        <w:tabs>
          <w:tab w:val="right" w:leader="dot" w:pos="8306"/>
        </w:tabs>
      </w:pPr>
      <w:r>
        <w:rPr>
          <w:color w:val="auto"/>
        </w:rPr>
        <w:fldChar w:fldCharType="begin"/>
      </w:r>
      <w:r>
        <w:instrText xml:space="preserve"> HYPERLINK \l _Toc5688 </w:instrText>
      </w:r>
      <w:r>
        <w:fldChar w:fldCharType="separate"/>
      </w:r>
      <w:r>
        <w:rPr>
          <w:rFonts w:hint="eastAsia"/>
          <w:lang w:val="en-US" w:eastAsia="zh-CN"/>
        </w:rPr>
        <w:t>8.3实施与监管</w:t>
      </w:r>
      <w:r>
        <w:tab/>
      </w:r>
      <w:r>
        <w:fldChar w:fldCharType="begin"/>
      </w:r>
      <w:r>
        <w:instrText xml:space="preserve"> PAGEREF _Toc5688 \h </w:instrText>
      </w:r>
      <w:r>
        <w:fldChar w:fldCharType="separate"/>
      </w:r>
      <w:r>
        <w:t>3</w:t>
      </w:r>
      <w:r>
        <w:rPr>
          <w:rFonts w:hint="eastAsia"/>
          <w:lang w:val="en-US" w:eastAsia="zh-CN"/>
        </w:rPr>
        <w:t>4</w:t>
      </w:r>
      <w:r>
        <w:fldChar w:fldCharType="end"/>
      </w:r>
      <w:r>
        <w:rPr>
          <w:color w:val="auto"/>
        </w:rPr>
        <w:fldChar w:fldCharType="end"/>
      </w:r>
    </w:p>
    <w:p>
      <w:pPr>
        <w:pStyle w:val="12"/>
        <w:tabs>
          <w:tab w:val="right" w:leader="dot" w:pos="8306"/>
        </w:tabs>
        <w:rPr>
          <w:rFonts w:hint="eastAsia" w:eastAsiaTheme="minorEastAsia"/>
          <w:lang w:val="en-US" w:eastAsia="zh-CN"/>
        </w:rPr>
      </w:pPr>
      <w:r>
        <w:rPr>
          <w:color w:val="auto"/>
        </w:rPr>
        <w:fldChar w:fldCharType="begin"/>
      </w:r>
      <w:r>
        <w:instrText xml:space="preserve"> HYPERLINK \l _Toc5194 </w:instrText>
      </w:r>
      <w:r>
        <w:fldChar w:fldCharType="separate"/>
      </w:r>
      <w:r>
        <w:rPr>
          <w:rFonts w:hint="eastAsia"/>
          <w:lang w:val="en-US" w:eastAsia="zh-CN"/>
        </w:rPr>
        <w:t>8.4预案解释部门</w:t>
      </w:r>
      <w:r>
        <w:tab/>
      </w:r>
      <w:r>
        <w:rPr>
          <w:rFonts w:hint="eastAsia"/>
          <w:lang w:val="en-US" w:eastAsia="zh-CN"/>
        </w:rPr>
        <w:t>3</w:t>
      </w:r>
      <w:r>
        <w:rPr>
          <w:color w:val="auto"/>
        </w:rPr>
        <w:fldChar w:fldCharType="end"/>
      </w:r>
      <w:r>
        <w:rPr>
          <w:rFonts w:hint="eastAsia"/>
          <w:color w:val="auto"/>
          <w:lang w:val="en-US" w:eastAsia="zh-CN"/>
        </w:rPr>
        <w:t>4</w:t>
      </w:r>
    </w:p>
    <w:p>
      <w:pPr>
        <w:pStyle w:val="12"/>
        <w:tabs>
          <w:tab w:val="right" w:leader="dot" w:pos="8306"/>
        </w:tabs>
      </w:pPr>
      <w:r>
        <w:rPr>
          <w:color w:val="auto"/>
        </w:rPr>
        <w:fldChar w:fldCharType="begin"/>
      </w:r>
      <w:r>
        <w:instrText xml:space="preserve"> HYPERLINK \l _Toc11473 </w:instrText>
      </w:r>
      <w:r>
        <w:fldChar w:fldCharType="separate"/>
      </w:r>
      <w:r>
        <w:rPr>
          <w:rFonts w:hint="eastAsia"/>
          <w:lang w:val="en-US" w:eastAsia="zh-CN"/>
        </w:rPr>
        <w:t>8.5预案实施时间</w:t>
      </w:r>
      <w:r>
        <w:tab/>
      </w:r>
      <w:r>
        <w:fldChar w:fldCharType="begin"/>
      </w:r>
      <w:r>
        <w:instrText xml:space="preserve"> PAGEREF _Toc11473 \h </w:instrText>
      </w:r>
      <w:r>
        <w:fldChar w:fldCharType="separate"/>
      </w:r>
      <w:r>
        <w:t>3</w:t>
      </w:r>
      <w:r>
        <w:rPr>
          <w:rFonts w:hint="eastAsia"/>
          <w:lang w:val="en-US" w:eastAsia="zh-CN"/>
        </w:rPr>
        <w:t>4</w:t>
      </w:r>
      <w:r>
        <w:fldChar w:fldCharType="end"/>
      </w:r>
      <w:r>
        <w:rPr>
          <w:color w:val="auto"/>
        </w:rPr>
        <w:fldChar w:fldCharType="end"/>
      </w:r>
    </w:p>
    <w:p>
      <w:pPr>
        <w:pStyle w:val="11"/>
        <w:tabs>
          <w:tab w:val="right" w:leader="dot" w:pos="8306"/>
        </w:tabs>
      </w:pPr>
      <w:r>
        <w:rPr>
          <w:color w:val="auto"/>
        </w:rPr>
        <w:fldChar w:fldCharType="begin"/>
      </w:r>
      <w:r>
        <w:instrText xml:space="preserve"> HYPERLINK \l _Toc22324 </w:instrText>
      </w:r>
      <w:r>
        <w:fldChar w:fldCharType="separate"/>
      </w:r>
      <w:r>
        <w:rPr>
          <w:rFonts w:hint="eastAsia"/>
          <w:lang w:val="en-US" w:eastAsia="zh-CN"/>
        </w:rPr>
        <w:t>9附件</w:t>
      </w:r>
      <w:r>
        <w:tab/>
      </w:r>
      <w:r>
        <w:fldChar w:fldCharType="begin"/>
      </w:r>
      <w:r>
        <w:instrText xml:space="preserve"> PAGEREF _Toc22324 \h </w:instrText>
      </w:r>
      <w:r>
        <w:fldChar w:fldCharType="separate"/>
      </w:r>
      <w:r>
        <w:t>3</w:t>
      </w:r>
      <w:r>
        <w:rPr>
          <w:rFonts w:hint="eastAsia"/>
          <w:lang w:val="en-US" w:eastAsia="zh-CN"/>
        </w:rPr>
        <w:t>4</w:t>
      </w:r>
      <w:r>
        <w:fldChar w:fldCharType="end"/>
      </w:r>
      <w:r>
        <w:rPr>
          <w:color w:val="auto"/>
        </w:rPr>
        <w:fldChar w:fldCharType="end"/>
      </w:r>
    </w:p>
    <w:p>
      <w:pPr>
        <w:pStyle w:val="11"/>
        <w:tabs>
          <w:tab w:val="right" w:leader="dot" w:pos="8306"/>
        </w:tabs>
        <w:ind w:left="0" w:leftChars="0" w:firstLine="0" w:firstLineChars="0"/>
      </w:pPr>
      <w:r>
        <w:rPr>
          <w:color w:val="auto"/>
        </w:rPr>
        <w:fldChar w:fldCharType="end"/>
      </w:r>
      <w:r>
        <w:rPr>
          <w:rFonts w:hint="eastAsia"/>
          <w:color w:val="auto"/>
          <w:lang w:val="en-US" w:eastAsia="zh-CN"/>
        </w:rPr>
        <w:t xml:space="preserve">         </w:t>
      </w:r>
      <w:r>
        <w:rPr>
          <w:color w:val="auto"/>
        </w:rPr>
        <w:fldChar w:fldCharType="begin"/>
      </w:r>
      <w:r>
        <w:instrText xml:space="preserve"> HYPERLINK \l _Toc22324 </w:instrText>
      </w:r>
      <w:r>
        <w:fldChar w:fldCharType="separate"/>
      </w:r>
      <w:r>
        <w:rPr>
          <w:rFonts w:hint="eastAsia" w:ascii="Arial" w:hAnsi="Arial" w:cs="Times New Roman" w:eastAsiaTheme="minorEastAsia"/>
          <w:snapToGrid w:val="0"/>
          <w:color w:val="000000"/>
          <w:kern w:val="0"/>
          <w:sz w:val="24"/>
          <w:szCs w:val="28"/>
          <w:lang w:val="en-US" w:eastAsia="zh-CN"/>
        </w:rPr>
        <w:t>附件:县级突发事件专项指挥机构和牵头部门</w:t>
      </w:r>
      <w:r>
        <w:tab/>
      </w:r>
      <w:r>
        <w:fldChar w:fldCharType="begin"/>
      </w:r>
      <w:r>
        <w:instrText xml:space="preserve"> PAGEREF _Toc22324 \h </w:instrText>
      </w:r>
      <w:r>
        <w:fldChar w:fldCharType="separate"/>
      </w:r>
      <w:r>
        <w:t>3</w:t>
      </w:r>
      <w:r>
        <w:rPr>
          <w:rFonts w:hint="eastAsia"/>
          <w:lang w:val="en-US" w:eastAsia="zh-CN"/>
        </w:rPr>
        <w:t>5</w:t>
      </w:r>
      <w:r>
        <w:fldChar w:fldCharType="end"/>
      </w:r>
      <w:r>
        <w:rPr>
          <w:color w:val="auto"/>
        </w:rPr>
        <w:fldChar w:fldCharType="end"/>
      </w:r>
    </w:p>
    <w:p>
      <w:pPr>
        <w:pStyle w:val="12"/>
        <w:tabs>
          <w:tab w:val="right" w:leader="dot" w:pos="8306"/>
        </w:tabs>
        <w:rPr>
          <w:color w:val="auto"/>
        </w:rPr>
      </w:pPr>
      <w:bookmarkStart w:id="98" w:name="_GoBack"/>
      <w:bookmarkEnd w:id="98"/>
    </w:p>
    <w:p>
      <w:pPr>
        <w:kinsoku w:val="0"/>
        <w:autoSpaceDE w:val="0"/>
        <w:autoSpaceDN w:val="0"/>
        <w:adjustRightInd w:val="0"/>
        <w:snapToGrid w:val="0"/>
        <w:spacing w:line="360" w:lineRule="auto"/>
        <w:ind w:firstLine="640" w:firstLineChars="200"/>
        <w:textAlignment w:val="baseline"/>
        <w:rPr>
          <w:rFonts w:hint="eastAsia" w:ascii="黑体" w:hAnsi="黑体" w:eastAsia="黑体" w:cs="黑体"/>
          <w:snapToGrid/>
          <w:color w:val="auto"/>
          <w:kern w:val="2"/>
          <w:sz w:val="32"/>
          <w:szCs w:val="28"/>
          <w:lang w:val="en-US" w:eastAsia="zh-CN" w:bidi="ar-SA"/>
        </w:rPr>
      </w:pPr>
      <w:r>
        <w:rPr>
          <w:rFonts w:hint="eastAsia" w:ascii="黑体" w:hAnsi="黑体" w:eastAsia="黑体" w:cs="黑体"/>
          <w:snapToGrid/>
          <w:color w:val="auto"/>
          <w:kern w:val="2"/>
          <w:sz w:val="32"/>
          <w:szCs w:val="28"/>
          <w:lang w:val="en-US" w:eastAsia="zh-CN" w:bidi="ar-SA"/>
        </w:rPr>
        <w:br w:type="page"/>
      </w:r>
    </w:p>
    <w:p>
      <w:pPr>
        <w:pStyle w:val="6"/>
        <w:rPr>
          <w:rFonts w:hint="eastAsia"/>
          <w:color w:val="auto"/>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2"/>
        <w:bidi w:val="0"/>
        <w:rPr>
          <w:rFonts w:hint="eastAsia"/>
          <w:b w:val="0"/>
          <w:bCs w:val="0"/>
          <w:color w:val="auto"/>
          <w:lang w:val="en-US" w:eastAsia="zh-CN"/>
        </w:rPr>
      </w:pPr>
      <w:bookmarkStart w:id="0" w:name="_Toc14614"/>
      <w:r>
        <w:rPr>
          <w:rFonts w:hint="eastAsia"/>
          <w:b w:val="0"/>
          <w:bCs w:val="0"/>
          <w:color w:val="auto"/>
          <w:lang w:val="en-US" w:eastAsia="zh-CN"/>
        </w:rPr>
        <w:t>1总则</w:t>
      </w:r>
      <w:bookmarkEnd w:id="0"/>
    </w:p>
    <w:p>
      <w:pPr>
        <w:pStyle w:val="3"/>
        <w:bidi w:val="0"/>
        <w:rPr>
          <w:rFonts w:hint="eastAsia"/>
          <w:color w:val="auto"/>
          <w:lang w:val="en-US" w:eastAsia="zh-CN"/>
        </w:rPr>
      </w:pPr>
      <w:bookmarkStart w:id="1" w:name="_bookmark2"/>
      <w:bookmarkEnd w:id="1"/>
      <w:bookmarkStart w:id="2" w:name="_bookmark1"/>
      <w:bookmarkEnd w:id="2"/>
      <w:bookmarkStart w:id="3" w:name="_Toc27725"/>
      <w:r>
        <w:rPr>
          <w:rFonts w:hint="eastAsia"/>
          <w:color w:val="auto"/>
          <w:lang w:val="en-US" w:eastAsia="zh-CN"/>
        </w:rPr>
        <w:t>1.1编制依据</w:t>
      </w:r>
      <w:bookmarkEnd w:id="3"/>
    </w:p>
    <w:p>
      <w:pPr>
        <w:kinsoku w:val="0"/>
        <w:autoSpaceDE w:val="0"/>
        <w:autoSpaceDN w:val="0"/>
        <w:bidi w:val="0"/>
        <w:adjustRightInd w:val="0"/>
        <w:snapToGrid w:val="0"/>
        <w:spacing w:line="360" w:lineRule="auto"/>
        <w:ind w:firstLine="640" w:firstLineChars="200"/>
        <w:textAlignment w:val="baseline"/>
        <w:rPr>
          <w:rFonts w:hint="eastAsia" w:ascii="Times New Roman" w:hAnsi="Times New Roman" w:eastAsia="方正仿宋_GB2312" w:cs="Times New Roman"/>
          <w:snapToGrid w:val="0"/>
          <w:color w:val="000000"/>
          <w:kern w:val="0"/>
          <w:sz w:val="32"/>
          <w:szCs w:val="28"/>
          <w:lang w:val="en-US" w:eastAsia="zh-CN"/>
        </w:rPr>
      </w:pPr>
      <w:r>
        <w:rPr>
          <w:rFonts w:hint="eastAsia" w:ascii="仿宋_GB2312" w:hAnsi="仿宋_GB2312" w:eastAsia="仿宋_GB2312" w:cs="仿宋_GB2312"/>
          <w:snapToGrid w:val="0"/>
          <w:color w:val="000000"/>
          <w:kern w:val="0"/>
          <w:sz w:val="32"/>
          <w:szCs w:val="28"/>
          <w:lang w:val="en-US" w:eastAsia="zh-CN"/>
        </w:rPr>
        <w:t>以习近平新时代中国特色社会主义思想为指导，依据《中华人民共和国突发事件应对法》等有关法律法规和《国家突发事件总体应急预案》《吉林省突发事件总体应急预案》《白山市突发事件总体应急预案》规定要求，制定本预案。</w:t>
      </w:r>
    </w:p>
    <w:p>
      <w:pPr>
        <w:pStyle w:val="3"/>
        <w:bidi w:val="0"/>
        <w:rPr>
          <w:rFonts w:hint="eastAsia"/>
          <w:color w:val="auto"/>
          <w:lang w:val="en-US" w:eastAsia="zh-CN"/>
        </w:rPr>
      </w:pPr>
      <w:bookmarkStart w:id="4" w:name="_bookmark3"/>
      <w:bookmarkEnd w:id="4"/>
      <w:bookmarkStart w:id="5" w:name="_Toc30611"/>
      <w:r>
        <w:rPr>
          <w:rFonts w:hint="eastAsia"/>
          <w:color w:val="auto"/>
          <w:lang w:val="en-US" w:eastAsia="zh-CN"/>
        </w:rPr>
        <w:t>1.2适用范围</w:t>
      </w:r>
      <w:bookmarkEnd w:id="5"/>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rPr>
        <w:t>本预案是</w:t>
      </w:r>
      <w:r>
        <w:rPr>
          <w:rFonts w:hint="eastAsia" w:ascii="仿宋_GB2312" w:hAnsi="仿宋_GB2312" w:eastAsia="仿宋_GB2312" w:cs="仿宋_GB2312"/>
          <w:snapToGrid w:val="0"/>
          <w:color w:val="auto"/>
          <w:kern w:val="0"/>
          <w:sz w:val="32"/>
          <w:szCs w:val="28"/>
          <w:lang w:val="en-US" w:eastAsia="zh-CN"/>
        </w:rPr>
        <w:t>抚松县</w:t>
      </w:r>
      <w:r>
        <w:rPr>
          <w:rFonts w:hint="eastAsia" w:ascii="仿宋_GB2312" w:hAnsi="仿宋_GB2312" w:eastAsia="仿宋_GB2312" w:cs="仿宋_GB2312"/>
          <w:snapToGrid w:val="0"/>
          <w:color w:val="auto"/>
          <w:kern w:val="0"/>
          <w:sz w:val="32"/>
          <w:szCs w:val="28"/>
        </w:rPr>
        <w:t>应对各类突发事件的总纲</w:t>
      </w:r>
      <w:r>
        <w:rPr>
          <w:rFonts w:hint="eastAsia" w:ascii="仿宋_GB2312" w:hAnsi="仿宋_GB2312" w:eastAsia="仿宋_GB2312" w:cs="仿宋_GB2312"/>
          <w:snapToGrid w:val="0"/>
          <w:color w:val="auto"/>
          <w:kern w:val="0"/>
          <w:sz w:val="32"/>
          <w:szCs w:val="28"/>
          <w:lang w:val="en-US" w:eastAsia="zh-CN"/>
        </w:rPr>
        <w:t>，是组织应对突发事件的总体制度安排，规定突发事件应对的基本原则、组织体系、运行机制以及应急保障等内容，用于指导由县政府负责或参与的突发事件风险防控、应急准备、应急处置救援、资源保障及恢复重建等工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本预案所称突发事件是指突然发生，造成或者可能造成严重社会危害，需要采取应急处置措施予以应对的自然灾害、事故灾难、公共卫生事件和社会安全事件。</w:t>
      </w:r>
    </w:p>
    <w:p>
      <w:pPr>
        <w:pStyle w:val="3"/>
        <w:bidi w:val="0"/>
        <w:rPr>
          <w:rFonts w:hint="eastAsia"/>
          <w:color w:val="auto"/>
          <w:lang w:val="en-US" w:eastAsia="zh-CN"/>
        </w:rPr>
      </w:pPr>
      <w:bookmarkStart w:id="6" w:name="_bookmark4"/>
      <w:bookmarkEnd w:id="6"/>
      <w:bookmarkStart w:id="7" w:name="_Toc16562"/>
      <w:r>
        <w:rPr>
          <w:rFonts w:hint="eastAsia"/>
          <w:color w:val="auto"/>
          <w:lang w:val="en-US" w:eastAsia="zh-CN"/>
        </w:rPr>
        <w:t>1.3工作原则</w:t>
      </w:r>
      <w:bookmarkEnd w:id="7"/>
    </w:p>
    <w:p>
      <w:pPr>
        <w:kinsoku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b/>
          <w:bCs/>
          <w:snapToGrid w:val="0"/>
          <w:color w:val="auto"/>
          <w:kern w:val="0"/>
          <w:sz w:val="32"/>
          <w:szCs w:val="28"/>
          <w:lang w:val="en-US" w:eastAsia="zh-CN"/>
        </w:rPr>
        <w:t>坚持人民至上、生命至上。</w:t>
      </w:r>
      <w:r>
        <w:rPr>
          <w:rFonts w:hint="eastAsia" w:ascii="仿宋_GB2312" w:hAnsi="仿宋_GB2312" w:eastAsia="仿宋_GB2312" w:cs="仿宋_GB2312"/>
          <w:snapToGrid w:val="0"/>
          <w:color w:val="auto"/>
          <w:kern w:val="0"/>
          <w:sz w:val="32"/>
          <w:szCs w:val="28"/>
          <w:lang w:val="en-US" w:eastAsia="zh-CN"/>
        </w:rPr>
        <w:t>深入贯彻落实习近平总书记关于应急管理和防灾减灾救灾重要论述，坚持以人民为中心，把保障人民群众生命财产安全作为首要任务，做好突发事件应对工作，最大程度减轻突发事件造成的危害。</w:t>
      </w:r>
    </w:p>
    <w:p>
      <w:pPr>
        <w:kinsoku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b/>
          <w:bCs/>
          <w:snapToGrid w:val="0"/>
          <w:color w:val="auto"/>
          <w:kern w:val="0"/>
          <w:sz w:val="32"/>
          <w:szCs w:val="28"/>
          <w:lang w:val="en-US" w:eastAsia="zh-CN"/>
        </w:rPr>
        <w:t>坚持统一指挥、协调联动。</w:t>
      </w:r>
      <w:r>
        <w:rPr>
          <w:rFonts w:hint="eastAsia" w:ascii="仿宋_GB2312" w:hAnsi="仿宋_GB2312" w:eastAsia="仿宋_GB2312" w:cs="仿宋_GB2312"/>
          <w:snapToGrid w:val="0"/>
          <w:color w:val="auto"/>
          <w:kern w:val="0"/>
          <w:sz w:val="32"/>
          <w:szCs w:val="28"/>
          <w:lang w:val="en-US" w:eastAsia="zh-CN"/>
        </w:rPr>
        <w:t>强化党委领导下的应急管理行政领导负责制，充分发挥各专项机构的统筹协调作用，健全完善统一指挥、专常兼备、反应灵敏、上下联动的应急管理体制机制，推进应急管理体系和能力现代化。</w:t>
      </w:r>
    </w:p>
    <w:p>
      <w:pPr>
        <w:kinsoku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b/>
          <w:bCs/>
          <w:snapToGrid w:val="0"/>
          <w:color w:val="auto"/>
          <w:kern w:val="0"/>
          <w:sz w:val="32"/>
          <w:szCs w:val="28"/>
          <w:lang w:val="en-US" w:eastAsia="zh-CN"/>
        </w:rPr>
        <w:t>坚持分级负责、属地为主。</w:t>
      </w:r>
      <w:r>
        <w:rPr>
          <w:rFonts w:hint="eastAsia" w:ascii="仿宋_GB2312" w:hAnsi="仿宋_GB2312" w:eastAsia="仿宋_GB2312" w:cs="仿宋_GB2312"/>
          <w:snapToGrid w:val="0"/>
          <w:color w:val="auto"/>
          <w:kern w:val="0"/>
          <w:sz w:val="32"/>
          <w:szCs w:val="28"/>
          <w:lang w:val="en-US" w:eastAsia="zh-CN"/>
        </w:rPr>
        <w:t>在县委领导下，县政府负责全县突发事件应对工作，组织处置一般突发事件；较大突发事件由县政府上报市政府，市政府指挥应对；重大、特别重大突发事件，由县政府逐级上报省政府，省政府指挥应对。事发地各镇、在本级党委领导下，履行主体责任，全面负责本行政区域突发事件的组织应对工作。</w:t>
      </w:r>
    </w:p>
    <w:p>
      <w:pPr>
        <w:kinsoku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b/>
          <w:bCs/>
          <w:snapToGrid w:val="0"/>
          <w:color w:val="auto"/>
          <w:kern w:val="0"/>
          <w:sz w:val="32"/>
          <w:szCs w:val="28"/>
          <w:lang w:val="en-US" w:eastAsia="zh-CN"/>
        </w:rPr>
        <w:t>坚持快速反应、高效处置。</w:t>
      </w:r>
      <w:r>
        <w:rPr>
          <w:rFonts w:hint="eastAsia" w:ascii="仿宋_GB2312" w:hAnsi="仿宋_GB2312" w:eastAsia="仿宋_GB2312" w:cs="仿宋_GB2312"/>
          <w:snapToGrid w:val="0"/>
          <w:color w:val="auto"/>
          <w:kern w:val="0"/>
          <w:sz w:val="32"/>
          <w:szCs w:val="28"/>
          <w:lang w:val="en-US" w:eastAsia="zh-CN"/>
        </w:rPr>
        <w:t>建立健全以国家综合性消防救援队伍为主力，以武警应急力量为突击，以专业应急力量为骨干，以社会应急力量为辅助的应急力量体系，完善应急救援力量快速反应、联动协调机制，高效有序应对突发事件。</w:t>
      </w:r>
    </w:p>
    <w:p>
      <w:pPr>
        <w:kinsoku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b/>
          <w:bCs/>
          <w:snapToGrid w:val="0"/>
          <w:color w:val="auto"/>
          <w:kern w:val="0"/>
          <w:sz w:val="32"/>
          <w:szCs w:val="28"/>
          <w:lang w:val="en-US" w:eastAsia="zh-CN"/>
        </w:rPr>
        <w:t>坚持依法规范、科技支撑。</w:t>
      </w:r>
      <w:r>
        <w:rPr>
          <w:rFonts w:hint="eastAsia" w:ascii="仿宋_GB2312" w:hAnsi="仿宋_GB2312" w:eastAsia="仿宋_GB2312" w:cs="仿宋_GB2312"/>
          <w:snapToGrid w:val="0"/>
          <w:color w:val="auto"/>
          <w:kern w:val="0"/>
          <w:sz w:val="32"/>
          <w:szCs w:val="28"/>
          <w:lang w:val="en-US" w:eastAsia="zh-CN"/>
        </w:rPr>
        <w:t>依据有关法律和行政法规，维护公众合法权益，提高突发事件应对工作法治化、规范化水平。充分发挥专家队伍和专业人员作用，强化应急管理装备技术支撑，优化整合科技资源，提高应急管理的科学化、专业化、智能化、精细化水平。</w:t>
      </w:r>
    </w:p>
    <w:p>
      <w:pPr>
        <w:pStyle w:val="3"/>
        <w:bidi w:val="0"/>
        <w:rPr>
          <w:rFonts w:hint="eastAsia"/>
          <w:color w:val="auto"/>
          <w:lang w:val="en-US" w:eastAsia="zh-CN"/>
        </w:rPr>
      </w:pPr>
      <w:bookmarkStart w:id="8" w:name="_bookmark5"/>
      <w:bookmarkEnd w:id="8"/>
      <w:bookmarkStart w:id="9" w:name="_Toc22389"/>
      <w:r>
        <w:rPr>
          <w:rFonts w:hint="eastAsia"/>
          <w:color w:val="auto"/>
          <w:lang w:val="en-US" w:eastAsia="zh-CN"/>
        </w:rPr>
        <w:t>1.4事件分类</w:t>
      </w:r>
      <w:bookmarkEnd w:id="9"/>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突发事件主要包括以下类别：</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（1）自然灾害。主要包括水旱灾害、气象灾害、地震灾害、地质灾害、生物灾害和森林草原火灾等。</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（2）事故灾难。主要包括工矿商贸等生产经营单位的安全事故、交通运输事故、公共设施和设备事故、核与辐射事故、突发环境事件等。</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（3）公共卫生事件。主要包括传染病疫情、群体性不明原因疾病、食品和药品安全事件、动物疫情、职业中毒以及其他严重影响公众健康和生命安全的事件等。</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（4）社会安全事件。主要包括恐怖袭击事件、刑事案件、群体性事件、金融突发事件、涉外突发事件、民族宗教事件、舆情突发事件等。</w:t>
      </w:r>
    </w:p>
    <w:p>
      <w:pPr>
        <w:pStyle w:val="3"/>
        <w:bidi w:val="0"/>
        <w:rPr>
          <w:rFonts w:hint="eastAsia"/>
          <w:color w:val="auto"/>
          <w:lang w:val="en-US" w:eastAsia="zh-CN"/>
        </w:rPr>
      </w:pPr>
      <w:bookmarkStart w:id="10" w:name="_bookmark7"/>
      <w:bookmarkEnd w:id="10"/>
      <w:bookmarkStart w:id="11" w:name="_bookmark6"/>
      <w:bookmarkEnd w:id="11"/>
      <w:bookmarkStart w:id="12" w:name="_Toc25596"/>
      <w:bookmarkStart w:id="13" w:name="_Toc10092"/>
      <w:r>
        <w:rPr>
          <w:rFonts w:hint="eastAsia"/>
          <w:color w:val="auto"/>
          <w:lang w:val="en-US" w:eastAsia="zh-CN"/>
        </w:rPr>
        <w:t>1.5事件分级与分级应对</w:t>
      </w:r>
      <w:bookmarkEnd w:id="12"/>
    </w:p>
    <w:p>
      <w:pPr>
        <w:pStyle w:val="4"/>
        <w:bidi w:val="0"/>
        <w:rPr>
          <w:rFonts w:hint="eastAsia" w:ascii="楷体_GB2312" w:hAnsi="楷体_GB2312" w:eastAsia="楷体_GB2312" w:cs="楷体_GB2312"/>
          <w:lang w:val="en-US" w:eastAsia="zh-CN"/>
        </w:rPr>
      </w:pPr>
      <w:bookmarkStart w:id="14" w:name="_Toc7644"/>
      <w:bookmarkStart w:id="15" w:name="_Toc5734"/>
      <w:r>
        <w:rPr>
          <w:rFonts w:hint="eastAsia"/>
          <w:lang w:val="en-US" w:eastAsia="zh-CN"/>
        </w:rPr>
        <w:t>1.5.1</w:t>
      </w:r>
      <w:r>
        <w:rPr>
          <w:rFonts w:hint="eastAsia" w:ascii="楷体_GB2312" w:hAnsi="楷体_GB2312" w:eastAsia="楷体_GB2312" w:cs="楷体_GB2312"/>
          <w:b/>
          <w:bCs/>
          <w:snapToGrid w:val="0"/>
          <w:color w:val="auto"/>
          <w:kern w:val="0"/>
          <w:sz w:val="32"/>
          <w:szCs w:val="28"/>
          <w:lang w:val="en-US" w:eastAsia="zh-CN"/>
        </w:rPr>
        <w:t>事件分级</w:t>
      </w:r>
      <w:bookmarkEnd w:id="14"/>
      <w:bookmarkEnd w:id="15"/>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突发事件按照其性质、造成损失、危害程度、可控性和影响范围等因素，从高到低一般分为特别重大、重大、较大和一般四个级别。突发事件分级标准在相应县级专项应急预案、部门应急预案中予以明确。</w:t>
      </w:r>
    </w:p>
    <w:p>
      <w:pPr>
        <w:pStyle w:val="4"/>
        <w:bidi w:val="0"/>
        <w:rPr>
          <w:rFonts w:hint="eastAsia" w:ascii="Times New Roman" w:hAnsi="Times New Roman" w:eastAsia="楷体" w:cs="Times New Roman"/>
          <w:b/>
          <w:bCs/>
          <w:snapToGrid w:val="0"/>
          <w:color w:val="auto"/>
          <w:kern w:val="0"/>
          <w:sz w:val="32"/>
          <w:szCs w:val="32"/>
          <w:lang w:val="en-US" w:eastAsia="zh-CN"/>
        </w:rPr>
      </w:pPr>
      <w:bookmarkStart w:id="16" w:name="_Toc22486"/>
      <w:bookmarkStart w:id="17" w:name="_Toc14465"/>
      <w:r>
        <w:rPr>
          <w:rFonts w:hint="eastAsia" w:ascii="Times New Roman" w:hAnsi="Times New Roman" w:eastAsia="楷体" w:cs="Times New Roman"/>
          <w:b/>
          <w:bCs/>
          <w:snapToGrid w:val="0"/>
          <w:color w:val="auto"/>
          <w:kern w:val="0"/>
          <w:sz w:val="32"/>
          <w:szCs w:val="32"/>
          <w:lang w:val="en-US" w:eastAsia="zh-CN"/>
        </w:rPr>
        <w:t>1.5.2分级应对</w:t>
      </w:r>
      <w:bookmarkEnd w:id="16"/>
      <w:bookmarkEnd w:id="17"/>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突发事件应对遵循分级负责、属地为主、分类应对、协调联动的原则。当突发事件超出属地政府的应对能力时，由上一级政府提供支援或者指挥应对。一般突发事件由县政府负责应对。较大突发事件由县政府上报市政府，市政府指挥应对；重大、特别重大突发事件，由县政府逐级上报省政府，省政府指挥应对。各镇有关部门在各自职责范围内，做好本行业、领域的突发事件应急处置工作。</w:t>
      </w:r>
    </w:p>
    <w:p>
      <w:pPr>
        <w:pStyle w:val="3"/>
        <w:bidi w:val="0"/>
        <w:rPr>
          <w:rFonts w:hint="eastAsia"/>
          <w:color w:val="auto"/>
          <w:lang w:val="en-US" w:eastAsia="zh-CN"/>
        </w:rPr>
      </w:pPr>
      <w:r>
        <w:rPr>
          <w:rFonts w:hint="eastAsia"/>
          <w:color w:val="auto"/>
          <w:lang w:val="en-US" w:eastAsia="zh-CN"/>
        </w:rPr>
        <w:t>1.6响应分级</w:t>
      </w:r>
      <w:bookmarkEnd w:id="13"/>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突发事件发生后，各级政府及县有关部门、基层组织和单位等根据突发事件初判级别、处置难度、自有处置能力以及预期后果，综合研判确定本层级响应级别，采取相应应急处置措施。对于事件本身比较敏感，或发生在重点地区、重要时期、重大活动中，可适当提高响应级别。应急响应启动后，可视突发事件事态发展情况及时调整响应级别。</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发生特别重大、重大或较大突发事件（含重特大涉险事件），由县政府报告市政府，市政府启动应急响应，必要时由市政府报请省政府及其有关部门启动省级应急响应。发生一般突发事件，县政府立即启动应急响应同时报市政府，对涉及面广、敏感复杂或处置不当易引发严重后果的一般突发事件，根据应对工作需要，可由县政府报请市政府启动市级相应级别应急响应。</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县级应急响应按照突发事件的性质、造成损失、危害程度、可控性以及影响范围等因素，一般由高到低分为四个响应级别，即一级、二级、三级、四级。原则上，一级应急响应由县委、县政府主要领导决定启动并组织指挥，二级应急响应由县委、县政府分管领导决定启动并组织指挥，三级、四级应急响应由县委、县政府分管领导决定启动并组织指挥，或由县委、县政府指定的负责同志组织指挥。县级应急响应具体分级级别设定和标准，在县级专项应急预案、部门应急预案中予以明确。</w:t>
      </w:r>
    </w:p>
    <w:p>
      <w:pPr>
        <w:pStyle w:val="3"/>
        <w:bidi w:val="0"/>
        <w:rPr>
          <w:rFonts w:hint="eastAsia"/>
          <w:color w:val="auto"/>
          <w:lang w:val="en-US" w:eastAsia="zh-CN"/>
        </w:rPr>
      </w:pPr>
      <w:bookmarkStart w:id="18" w:name="_Toc25390"/>
      <w:r>
        <w:rPr>
          <w:rFonts w:hint="eastAsia"/>
          <w:color w:val="auto"/>
          <w:lang w:val="en-US" w:eastAsia="zh-CN"/>
        </w:rPr>
        <w:t>1.7应急预案体系</w:t>
      </w:r>
      <w:bookmarkEnd w:id="18"/>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rPr>
      </w:pPr>
      <w:r>
        <w:rPr>
          <w:rFonts w:hint="eastAsia" w:ascii="仿宋_GB2312" w:hAnsi="仿宋_GB2312" w:eastAsia="仿宋_GB2312" w:cs="仿宋_GB2312"/>
          <w:snapToGrid w:val="0"/>
          <w:color w:val="auto"/>
          <w:kern w:val="0"/>
          <w:sz w:val="32"/>
          <w:szCs w:val="28"/>
        </w:rPr>
        <w:t>突发事件应急预案体系包括政府、部门、基层组织和单位制定的突发事件应急预案，以及为应急预案提供支撑的工作手册和事件行动方案</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rPr>
      </w:pPr>
      <w:r>
        <w:rPr>
          <w:rFonts w:hint="eastAsia" w:ascii="仿宋_GB2312" w:hAnsi="仿宋_GB2312" w:eastAsia="仿宋_GB2312" w:cs="仿宋_GB2312"/>
          <w:snapToGrid w:val="0"/>
          <w:color w:val="auto"/>
          <w:kern w:val="0"/>
          <w:sz w:val="32"/>
          <w:szCs w:val="28"/>
          <w:lang w:eastAsia="zh-CN"/>
        </w:rPr>
        <w:t>全县</w:t>
      </w:r>
      <w:r>
        <w:rPr>
          <w:rFonts w:hint="eastAsia" w:ascii="仿宋_GB2312" w:hAnsi="仿宋_GB2312" w:eastAsia="仿宋_GB2312" w:cs="仿宋_GB2312"/>
          <w:snapToGrid w:val="0"/>
          <w:color w:val="auto"/>
          <w:kern w:val="0"/>
          <w:sz w:val="32"/>
          <w:szCs w:val="28"/>
        </w:rPr>
        <w:t>应急预案包括：</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rPr>
      </w:pPr>
      <w:r>
        <w:rPr>
          <w:rFonts w:hint="eastAsia" w:ascii="仿宋_GB2312" w:hAnsi="仿宋_GB2312" w:eastAsia="仿宋_GB2312" w:cs="仿宋_GB2312"/>
          <w:snapToGrid w:val="0"/>
          <w:color w:val="auto"/>
          <w:kern w:val="0"/>
          <w:sz w:val="32"/>
          <w:szCs w:val="28"/>
        </w:rPr>
        <w:t>（1）突发事件总体应急预案</w:t>
      </w:r>
      <w:r>
        <w:rPr>
          <w:rFonts w:hint="eastAsia" w:ascii="仿宋_GB2312" w:hAnsi="仿宋_GB2312" w:eastAsia="仿宋_GB2312" w:cs="仿宋_GB2312"/>
          <w:snapToGrid w:val="0"/>
          <w:color w:val="auto"/>
          <w:kern w:val="0"/>
          <w:sz w:val="32"/>
          <w:szCs w:val="28"/>
          <w:lang w:val="en-US" w:eastAsia="zh-CN"/>
        </w:rPr>
        <w:t>是应急预案体系的总纲，是政府组织应对突发事件的总体制度安排，由县政府制定</w:t>
      </w:r>
      <w:r>
        <w:rPr>
          <w:rFonts w:hint="eastAsia" w:ascii="仿宋_GB2312" w:hAnsi="仿宋_GB2312" w:eastAsia="仿宋_GB2312" w:cs="仿宋_GB2312"/>
          <w:snapToGrid w:val="0"/>
          <w:color w:val="auto"/>
          <w:kern w:val="0"/>
          <w:sz w:val="32"/>
          <w:szCs w:val="28"/>
        </w:rPr>
        <w:t>。</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rPr>
      </w:pPr>
      <w:r>
        <w:rPr>
          <w:rFonts w:hint="eastAsia" w:ascii="仿宋_GB2312" w:hAnsi="仿宋_GB2312" w:eastAsia="仿宋_GB2312" w:cs="仿宋_GB2312"/>
          <w:snapToGrid w:val="0"/>
          <w:color w:val="auto"/>
          <w:kern w:val="0"/>
          <w:sz w:val="32"/>
          <w:szCs w:val="28"/>
        </w:rPr>
        <w:t>（2）</w:t>
      </w:r>
      <w:r>
        <w:rPr>
          <w:rFonts w:hint="eastAsia" w:ascii="仿宋_GB2312" w:hAnsi="仿宋_GB2312" w:eastAsia="仿宋_GB2312" w:cs="仿宋_GB2312"/>
          <w:snapToGrid w:val="0"/>
          <w:color w:val="auto"/>
          <w:kern w:val="0"/>
          <w:sz w:val="32"/>
          <w:szCs w:val="28"/>
          <w:lang w:val="en-US" w:eastAsia="zh-CN"/>
        </w:rPr>
        <w:t>专项应急预案是政府为应对某一类型或某几种类型突发事件或针对应急资源保障，而预先制定的涉及多个部门职责的工作方案，由有关部门牵头制订，报县政府批准后印发实施</w:t>
      </w:r>
      <w:r>
        <w:rPr>
          <w:rFonts w:hint="eastAsia" w:ascii="仿宋_GB2312" w:hAnsi="仿宋_GB2312" w:eastAsia="仿宋_GB2312" w:cs="仿宋_GB2312"/>
          <w:snapToGrid w:val="0"/>
          <w:color w:val="auto"/>
          <w:kern w:val="0"/>
          <w:sz w:val="32"/>
          <w:szCs w:val="28"/>
        </w:rPr>
        <w:t>。</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rPr>
      </w:pPr>
      <w:r>
        <w:rPr>
          <w:rFonts w:hint="eastAsia" w:ascii="仿宋_GB2312" w:hAnsi="仿宋_GB2312" w:eastAsia="仿宋_GB2312" w:cs="仿宋_GB2312"/>
          <w:snapToGrid w:val="0"/>
          <w:color w:val="auto"/>
          <w:kern w:val="0"/>
          <w:sz w:val="32"/>
          <w:szCs w:val="28"/>
        </w:rPr>
        <w:t>（3）</w:t>
      </w:r>
      <w:r>
        <w:rPr>
          <w:rFonts w:hint="eastAsia" w:ascii="仿宋_GB2312" w:hAnsi="仿宋_GB2312" w:eastAsia="仿宋_GB2312" w:cs="仿宋_GB2312"/>
          <w:snapToGrid w:val="0"/>
          <w:color w:val="auto"/>
          <w:kern w:val="0"/>
          <w:sz w:val="32"/>
          <w:szCs w:val="28"/>
          <w:lang w:val="en-US" w:eastAsia="zh-CN"/>
        </w:rPr>
        <w:t>部门应急预案是政府有关部门根据总体应急预案、专项应急预案和部门职责，为应对本部门（行业、领域）突发事件或针对应急资源保障而预先制定的工作方案，由县政府有关部门制定</w:t>
      </w:r>
      <w:r>
        <w:rPr>
          <w:rFonts w:hint="eastAsia" w:ascii="仿宋_GB2312" w:hAnsi="仿宋_GB2312" w:eastAsia="仿宋_GB2312" w:cs="仿宋_GB2312"/>
          <w:snapToGrid w:val="0"/>
          <w:color w:val="auto"/>
          <w:kern w:val="0"/>
          <w:sz w:val="32"/>
          <w:szCs w:val="28"/>
        </w:rPr>
        <w:t>。</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rPr>
        <w:t>（4）</w:t>
      </w:r>
      <w:r>
        <w:rPr>
          <w:rFonts w:hint="eastAsia" w:ascii="仿宋_GB2312" w:hAnsi="仿宋_GB2312" w:eastAsia="仿宋_GB2312" w:cs="仿宋_GB2312"/>
          <w:snapToGrid w:val="0"/>
          <w:color w:val="auto"/>
          <w:kern w:val="0"/>
          <w:sz w:val="32"/>
          <w:szCs w:val="28"/>
          <w:lang w:val="en-US" w:eastAsia="zh-CN"/>
        </w:rPr>
        <w:t>乡镇政府根据县政府及其有关部门的应急预案，结合本地区实际情况研究制定本级应急预案。</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rPr>
      </w:pPr>
      <w:r>
        <w:rPr>
          <w:rFonts w:hint="eastAsia" w:ascii="仿宋_GB2312" w:hAnsi="仿宋_GB2312" w:eastAsia="仿宋_GB2312" w:cs="仿宋_GB2312"/>
          <w:snapToGrid w:val="0"/>
          <w:color w:val="auto"/>
          <w:kern w:val="0"/>
          <w:sz w:val="32"/>
          <w:szCs w:val="28"/>
        </w:rPr>
        <w:t>（5）企事业单位根据有关法律法规制定应急预案，并向有关部门备案。</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rPr>
      </w:pPr>
      <w:r>
        <w:rPr>
          <w:rFonts w:hint="eastAsia" w:ascii="仿宋_GB2312" w:hAnsi="仿宋_GB2312" w:eastAsia="仿宋_GB2312" w:cs="仿宋_GB2312"/>
          <w:snapToGrid w:val="0"/>
          <w:color w:val="auto"/>
          <w:kern w:val="0"/>
          <w:sz w:val="32"/>
          <w:szCs w:val="28"/>
        </w:rPr>
        <w:t>各类预案应当根据实际情况变化，由制定单位及时修订</w:t>
      </w:r>
      <w:r>
        <w:rPr>
          <w:rFonts w:hint="eastAsia" w:ascii="仿宋_GB2312" w:hAnsi="仿宋_GB2312" w:eastAsia="仿宋_GB2312" w:cs="仿宋_GB2312"/>
          <w:snapToGrid w:val="0"/>
          <w:color w:val="auto"/>
          <w:kern w:val="0"/>
          <w:sz w:val="32"/>
          <w:szCs w:val="28"/>
          <w:lang w:eastAsia="zh-CN"/>
        </w:rPr>
        <w:t>；</w:t>
      </w:r>
      <w:r>
        <w:rPr>
          <w:rFonts w:hint="eastAsia" w:ascii="仿宋_GB2312" w:hAnsi="仿宋_GB2312" w:eastAsia="仿宋_GB2312" w:cs="仿宋_GB2312"/>
          <w:snapToGrid w:val="0"/>
          <w:color w:val="auto"/>
          <w:kern w:val="0"/>
          <w:sz w:val="32"/>
          <w:szCs w:val="28"/>
        </w:rPr>
        <w:t>并不断补充、完善。</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rPr>
      </w:pPr>
      <w:r>
        <w:rPr>
          <w:rFonts w:hint="eastAsia" w:ascii="仿宋_GB2312" w:hAnsi="仿宋_GB2312" w:eastAsia="仿宋_GB2312" w:cs="仿宋_GB2312"/>
          <w:snapToGrid w:val="0"/>
          <w:color w:val="auto"/>
          <w:kern w:val="0"/>
          <w:sz w:val="32"/>
          <w:szCs w:val="28"/>
        </w:rPr>
        <w:t>应急预案支撑性文件包括：</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rPr>
      </w:pPr>
      <w:r>
        <w:rPr>
          <w:rFonts w:hint="eastAsia" w:ascii="仿宋_GB2312" w:hAnsi="仿宋_GB2312" w:eastAsia="仿宋_GB2312" w:cs="仿宋_GB2312"/>
          <w:snapToGrid w:val="0"/>
          <w:color w:val="auto"/>
          <w:kern w:val="0"/>
          <w:sz w:val="32"/>
          <w:szCs w:val="28"/>
        </w:rPr>
        <w:t>（1）应急工作手册。应急工作手册是预案涉及的有关部门（单位）对自身承担职责任务进一步分解细化的工作安排，是本单位应对突发事件的工作指南。</w:t>
      </w:r>
      <w:r>
        <w:rPr>
          <w:rFonts w:hint="eastAsia" w:ascii="仿宋_GB2312" w:hAnsi="仿宋_GB2312" w:eastAsia="仿宋_GB2312" w:cs="仿宋_GB2312"/>
          <w:snapToGrid w:val="0"/>
          <w:color w:val="auto"/>
          <w:kern w:val="0"/>
          <w:sz w:val="32"/>
          <w:szCs w:val="28"/>
          <w:lang w:eastAsia="zh-CN"/>
        </w:rPr>
        <w:t>县级</w:t>
      </w:r>
      <w:r>
        <w:rPr>
          <w:rFonts w:hint="eastAsia" w:ascii="仿宋_GB2312" w:hAnsi="仿宋_GB2312" w:eastAsia="仿宋_GB2312" w:cs="仿宋_GB2312"/>
          <w:snapToGrid w:val="0"/>
          <w:color w:val="auto"/>
          <w:kern w:val="0"/>
          <w:sz w:val="32"/>
          <w:szCs w:val="28"/>
        </w:rPr>
        <w:t>应急预案中承担职责的有关部门（单位）要编制相应工作手册，要把每一项职责任务细化、具体化，明确工作内容和流程，并落实到具体责任单位、具体责任人。基层组织和单位应急预案根据自身实际情况，可单独编制工作手册，也可将有关内容融入预案，合并编制。</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rPr>
        <w:t>（2）事件行动方案。事件行动方案是参与突发事件应对的救援队伍、专家队伍等按照应急预案、应急工作手册或上级指挥机构要求，为执行具体任务并结合实际情况而制定的工作方案。事件行动方案要明确队伍编成、指挥协同、力量投送、战勤保障、通信联络等具体内容，以及采取的具体对策措施和实施步骤。</w:t>
      </w:r>
    </w:p>
    <w:p>
      <w:pPr>
        <w:pStyle w:val="2"/>
        <w:bidi w:val="0"/>
        <w:rPr>
          <w:rFonts w:hint="eastAsia"/>
          <w:b w:val="0"/>
          <w:bCs w:val="0"/>
          <w:color w:val="auto"/>
          <w:lang w:val="en-US" w:eastAsia="zh-CN"/>
        </w:rPr>
      </w:pPr>
      <w:bookmarkStart w:id="19" w:name="_Toc15818"/>
      <w:r>
        <w:rPr>
          <w:rFonts w:hint="eastAsia"/>
          <w:b w:val="0"/>
          <w:bCs w:val="0"/>
          <w:color w:val="auto"/>
          <w:lang w:val="en-US" w:eastAsia="zh-CN"/>
        </w:rPr>
        <w:t>2组织指挥体系</w:t>
      </w:r>
      <w:bookmarkEnd w:id="19"/>
    </w:p>
    <w:p>
      <w:pPr>
        <w:pStyle w:val="3"/>
        <w:bidi w:val="0"/>
        <w:rPr>
          <w:rFonts w:hint="eastAsia"/>
          <w:color w:val="auto"/>
          <w:lang w:val="en-US" w:eastAsia="zh-CN"/>
        </w:rPr>
      </w:pPr>
      <w:bookmarkStart w:id="20" w:name="_bookmark12"/>
      <w:bookmarkEnd w:id="20"/>
      <w:bookmarkStart w:id="21" w:name="_bookmark11"/>
      <w:bookmarkEnd w:id="21"/>
      <w:bookmarkStart w:id="22" w:name="_Toc7166"/>
      <w:r>
        <w:rPr>
          <w:rFonts w:hint="eastAsia"/>
          <w:color w:val="auto"/>
          <w:lang w:val="en-US" w:eastAsia="zh-CN"/>
        </w:rPr>
        <w:t>2.1领导机构</w:t>
      </w:r>
      <w:bookmarkEnd w:id="22"/>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FF0000"/>
          <w:kern w:val="0"/>
          <w:sz w:val="32"/>
          <w:szCs w:val="28"/>
          <w:lang w:eastAsia="zh-CN"/>
        </w:rPr>
      </w:pPr>
      <w:r>
        <w:rPr>
          <w:rFonts w:hint="eastAsia" w:ascii="仿宋_GB2312" w:hAnsi="仿宋_GB2312" w:eastAsia="仿宋_GB2312" w:cs="仿宋_GB2312"/>
          <w:snapToGrid w:val="0"/>
          <w:color w:val="auto"/>
          <w:kern w:val="0"/>
          <w:sz w:val="32"/>
          <w:szCs w:val="28"/>
        </w:rPr>
        <w:t>在</w:t>
      </w:r>
      <w:r>
        <w:rPr>
          <w:rFonts w:hint="eastAsia" w:ascii="仿宋_GB2312" w:hAnsi="仿宋_GB2312" w:eastAsia="仿宋_GB2312" w:cs="仿宋_GB2312"/>
          <w:snapToGrid w:val="0"/>
          <w:color w:val="auto"/>
          <w:kern w:val="0"/>
          <w:sz w:val="32"/>
          <w:szCs w:val="28"/>
          <w:lang w:val="en-US" w:eastAsia="zh-CN"/>
        </w:rPr>
        <w:t>县</w:t>
      </w:r>
      <w:r>
        <w:rPr>
          <w:rFonts w:hint="eastAsia" w:ascii="仿宋_GB2312" w:hAnsi="仿宋_GB2312" w:eastAsia="仿宋_GB2312" w:cs="仿宋_GB2312"/>
          <w:snapToGrid w:val="0"/>
          <w:color w:val="auto"/>
          <w:kern w:val="0"/>
          <w:sz w:val="32"/>
          <w:szCs w:val="28"/>
        </w:rPr>
        <w:t>委统一领导下，</w:t>
      </w:r>
      <w:r>
        <w:rPr>
          <w:rFonts w:hint="eastAsia" w:ascii="仿宋_GB2312" w:hAnsi="仿宋_GB2312" w:eastAsia="仿宋_GB2312" w:cs="仿宋_GB2312"/>
          <w:snapToGrid w:val="0"/>
          <w:color w:val="auto"/>
          <w:kern w:val="0"/>
          <w:sz w:val="32"/>
          <w:szCs w:val="28"/>
          <w:lang w:val="en-US" w:eastAsia="zh-CN"/>
        </w:rPr>
        <w:t>县</w:t>
      </w:r>
      <w:r>
        <w:rPr>
          <w:rFonts w:hint="eastAsia" w:ascii="仿宋_GB2312" w:hAnsi="仿宋_GB2312" w:eastAsia="仿宋_GB2312" w:cs="仿宋_GB2312"/>
          <w:snapToGrid w:val="0"/>
          <w:color w:val="auto"/>
          <w:kern w:val="0"/>
          <w:sz w:val="32"/>
          <w:szCs w:val="28"/>
        </w:rPr>
        <w:t>政府是全</w:t>
      </w:r>
      <w:r>
        <w:rPr>
          <w:rFonts w:hint="eastAsia" w:ascii="仿宋_GB2312" w:hAnsi="仿宋_GB2312" w:eastAsia="仿宋_GB2312" w:cs="仿宋_GB2312"/>
          <w:snapToGrid w:val="0"/>
          <w:color w:val="auto"/>
          <w:kern w:val="0"/>
          <w:sz w:val="32"/>
          <w:szCs w:val="28"/>
          <w:lang w:val="en-US" w:eastAsia="zh-CN"/>
        </w:rPr>
        <w:t>县</w:t>
      </w:r>
      <w:r>
        <w:rPr>
          <w:rFonts w:hint="eastAsia" w:ascii="仿宋_GB2312" w:hAnsi="仿宋_GB2312" w:eastAsia="仿宋_GB2312" w:cs="仿宋_GB2312"/>
          <w:snapToGrid w:val="0"/>
          <w:color w:val="auto"/>
          <w:kern w:val="0"/>
          <w:sz w:val="32"/>
          <w:szCs w:val="28"/>
        </w:rPr>
        <w:t>突发事件应对工作的行政领导机关，统筹制定全</w:t>
      </w:r>
      <w:r>
        <w:rPr>
          <w:rFonts w:hint="eastAsia" w:ascii="仿宋_GB2312" w:hAnsi="仿宋_GB2312" w:eastAsia="仿宋_GB2312" w:cs="仿宋_GB2312"/>
          <w:snapToGrid w:val="0"/>
          <w:color w:val="auto"/>
          <w:kern w:val="0"/>
          <w:sz w:val="32"/>
          <w:szCs w:val="28"/>
          <w:lang w:val="en-US" w:eastAsia="zh-CN"/>
        </w:rPr>
        <w:t>县</w:t>
      </w:r>
      <w:r>
        <w:rPr>
          <w:rFonts w:hint="eastAsia" w:ascii="仿宋_GB2312" w:hAnsi="仿宋_GB2312" w:eastAsia="仿宋_GB2312" w:cs="仿宋_GB2312"/>
          <w:snapToGrid w:val="0"/>
          <w:color w:val="auto"/>
          <w:kern w:val="0"/>
          <w:sz w:val="32"/>
          <w:szCs w:val="28"/>
        </w:rPr>
        <w:t>应急管理工作发展规划和政策措施，研究解决全</w:t>
      </w:r>
      <w:r>
        <w:rPr>
          <w:rFonts w:hint="eastAsia" w:ascii="仿宋_GB2312" w:hAnsi="仿宋_GB2312" w:eastAsia="仿宋_GB2312" w:cs="仿宋_GB2312"/>
          <w:snapToGrid w:val="0"/>
          <w:color w:val="auto"/>
          <w:kern w:val="0"/>
          <w:sz w:val="32"/>
          <w:szCs w:val="28"/>
          <w:lang w:val="en-US" w:eastAsia="zh-CN"/>
        </w:rPr>
        <w:t>县突发事件的</w:t>
      </w:r>
      <w:r>
        <w:rPr>
          <w:rFonts w:hint="eastAsia" w:ascii="仿宋_GB2312" w:hAnsi="仿宋_GB2312" w:eastAsia="仿宋_GB2312" w:cs="仿宋_GB2312"/>
          <w:snapToGrid w:val="0"/>
          <w:color w:val="auto"/>
          <w:kern w:val="0"/>
          <w:sz w:val="32"/>
          <w:szCs w:val="28"/>
        </w:rPr>
        <w:t>风险防控、监测预警、处置救援、资源保障、恢复重建等重大问题，领导指挥协调</w:t>
      </w:r>
      <w:r>
        <w:rPr>
          <w:rFonts w:hint="eastAsia" w:ascii="仿宋_GB2312" w:hAnsi="仿宋_GB2312" w:eastAsia="仿宋_GB2312" w:cs="仿宋_GB2312"/>
          <w:snapToGrid w:val="0"/>
          <w:color w:val="auto"/>
          <w:kern w:val="0"/>
          <w:sz w:val="32"/>
          <w:szCs w:val="28"/>
          <w:lang w:val="en-US" w:eastAsia="zh-CN"/>
        </w:rPr>
        <w:t>一般</w:t>
      </w:r>
      <w:r>
        <w:rPr>
          <w:rFonts w:hint="eastAsia" w:ascii="仿宋_GB2312" w:hAnsi="仿宋_GB2312" w:eastAsia="仿宋_GB2312" w:cs="仿宋_GB2312"/>
          <w:snapToGrid w:val="0"/>
          <w:color w:val="auto"/>
          <w:kern w:val="0"/>
          <w:sz w:val="32"/>
          <w:szCs w:val="28"/>
        </w:rPr>
        <w:t>以上突发事件防范应对工作</w:t>
      </w:r>
      <w:r>
        <w:rPr>
          <w:rFonts w:hint="eastAsia" w:ascii="仿宋_GB2312" w:hAnsi="仿宋_GB2312" w:eastAsia="仿宋_GB2312" w:cs="仿宋_GB2312"/>
          <w:snapToGrid w:val="0"/>
          <w:color w:val="auto"/>
          <w:kern w:val="0"/>
          <w:sz w:val="32"/>
          <w:szCs w:val="28"/>
          <w:lang w:eastAsia="zh-CN"/>
        </w:rPr>
        <w:t>，指导</w:t>
      </w:r>
      <w:r>
        <w:rPr>
          <w:rFonts w:hint="eastAsia" w:ascii="仿宋_GB2312" w:hAnsi="仿宋_GB2312" w:eastAsia="仿宋_GB2312" w:cs="仿宋_GB2312"/>
          <w:snapToGrid w:val="0"/>
          <w:color w:val="auto"/>
          <w:kern w:val="0"/>
          <w:sz w:val="32"/>
          <w:szCs w:val="28"/>
          <w:lang w:val="en-US" w:eastAsia="zh-CN"/>
        </w:rPr>
        <w:t>乡镇</w:t>
      </w:r>
      <w:r>
        <w:rPr>
          <w:rFonts w:hint="eastAsia" w:ascii="仿宋_GB2312" w:hAnsi="仿宋_GB2312" w:eastAsia="仿宋_GB2312" w:cs="仿宋_GB2312"/>
          <w:snapToGrid w:val="0"/>
          <w:color w:val="auto"/>
          <w:kern w:val="0"/>
          <w:sz w:val="32"/>
          <w:szCs w:val="28"/>
          <w:lang w:eastAsia="zh-CN"/>
        </w:rPr>
        <w:t>级突发事件应对工作。</w:t>
      </w:r>
    </w:p>
    <w:p>
      <w:pPr>
        <w:pStyle w:val="3"/>
        <w:bidi w:val="0"/>
        <w:rPr>
          <w:rFonts w:hint="eastAsia"/>
          <w:color w:val="auto"/>
          <w:lang w:val="en-US" w:eastAsia="zh-CN"/>
        </w:rPr>
      </w:pPr>
      <w:bookmarkStart w:id="23" w:name="_bookmark13"/>
      <w:bookmarkEnd w:id="23"/>
      <w:bookmarkStart w:id="24" w:name="_Toc12343"/>
      <w:r>
        <w:rPr>
          <w:rFonts w:hint="eastAsia"/>
          <w:color w:val="auto"/>
          <w:lang w:val="en-US" w:eastAsia="zh-CN"/>
        </w:rPr>
        <w:t>2.2专项指挥机构</w:t>
      </w:r>
      <w:bookmarkEnd w:id="24"/>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各类突发事件指挥协调和组织应对工作由相应县级议事协调机构，或视情设立的县级专项应急指挥机构负责。县级议事协调机构在县委、县政府有关文件中予以明确，视情设立的县级专项应急指挥机构构成在相应县级专项应急预案或有关部门（机构）印发的文件中予以明确。</w:t>
      </w:r>
    </w:p>
    <w:p>
      <w:pPr>
        <w:pStyle w:val="3"/>
        <w:bidi w:val="0"/>
        <w:rPr>
          <w:rFonts w:hint="eastAsia"/>
          <w:color w:val="auto"/>
          <w:lang w:val="en-US" w:eastAsia="zh-CN"/>
        </w:rPr>
      </w:pPr>
      <w:bookmarkStart w:id="25" w:name="_bookmark14"/>
      <w:bookmarkEnd w:id="25"/>
      <w:bookmarkStart w:id="26" w:name="_Toc15426"/>
      <w:r>
        <w:rPr>
          <w:rFonts w:hint="eastAsia"/>
          <w:color w:val="auto"/>
          <w:lang w:val="en-US" w:eastAsia="zh-CN"/>
        </w:rPr>
        <w:t>2.3工作机构</w:t>
      </w:r>
      <w:bookmarkEnd w:id="26"/>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县级有关部门按照职责分工负责相关突发事件应急管理工作，承担有关类别突发事件专项和部门应急预案的起草与实施，组织协调指导风险防控、应急准备、监测预警、应急处置与救援、恢复重建等工作。</w:t>
      </w:r>
    </w:p>
    <w:p>
      <w:pPr>
        <w:pStyle w:val="3"/>
        <w:bidi w:val="0"/>
        <w:rPr>
          <w:rFonts w:hint="default"/>
          <w:color w:val="auto"/>
          <w:lang w:val="en-US" w:eastAsia="zh-CN"/>
        </w:rPr>
      </w:pPr>
      <w:bookmarkStart w:id="27" w:name="_bookmark15"/>
      <w:bookmarkEnd w:id="27"/>
      <w:bookmarkStart w:id="28" w:name="_Toc32367"/>
      <w:r>
        <w:rPr>
          <w:rFonts w:hint="eastAsia"/>
          <w:color w:val="auto"/>
          <w:lang w:val="en-US" w:eastAsia="zh-CN"/>
        </w:rPr>
        <w:t>2.4县现场指挥部</w:t>
      </w:r>
      <w:bookmarkEnd w:id="28"/>
    </w:p>
    <w:p>
      <w:pPr>
        <w:kinsoku w:val="0"/>
        <w:autoSpaceDE w:val="0"/>
        <w:autoSpaceDN w:val="0"/>
        <w:bidi w:val="0"/>
        <w:adjustRightInd w:val="0"/>
        <w:snapToGrid w:val="0"/>
        <w:spacing w:line="360" w:lineRule="auto"/>
        <w:ind w:firstLine="640" w:firstLineChars="200"/>
        <w:textAlignment w:val="baseline"/>
        <w:rPr>
          <w:rFonts w:hint="eastAsia" w:ascii="Times New Roman" w:hAnsi="Times New Roman" w:eastAsia="方正仿宋_GB2312" w:cs="Times New Roman"/>
          <w:snapToGrid w:val="0"/>
          <w:color w:val="000000"/>
          <w:kern w:val="0"/>
          <w:sz w:val="32"/>
          <w:szCs w:val="28"/>
          <w:lang w:val="en-US" w:eastAsia="zh-CN"/>
        </w:rPr>
      </w:pPr>
      <w:r>
        <w:rPr>
          <w:rFonts w:hint="eastAsia" w:ascii="仿宋_GB2312" w:hAnsi="仿宋_GB2312" w:eastAsia="仿宋_GB2312" w:cs="仿宋_GB2312"/>
          <w:snapToGrid w:val="0"/>
          <w:color w:val="000000"/>
          <w:kern w:val="0"/>
          <w:sz w:val="32"/>
          <w:szCs w:val="28"/>
          <w:lang w:val="en-US" w:eastAsia="zh-CN"/>
        </w:rPr>
        <w:t>一般以上</w:t>
      </w:r>
      <w:r>
        <w:rPr>
          <w:rFonts w:hint="eastAsia" w:ascii="仿宋_GB2312" w:hAnsi="仿宋_GB2312" w:eastAsia="仿宋_GB2312" w:cs="仿宋_GB2312"/>
          <w:snapToGrid w:val="0"/>
          <w:color w:val="000000"/>
          <w:kern w:val="0"/>
          <w:sz w:val="32"/>
          <w:szCs w:val="28"/>
        </w:rPr>
        <w:t>突发事件发生后，</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委、</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政府或</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专项指挥机构</w:t>
      </w:r>
      <w:r>
        <w:rPr>
          <w:rFonts w:hint="eastAsia" w:ascii="仿宋_GB2312" w:hAnsi="仿宋_GB2312" w:eastAsia="仿宋_GB2312" w:cs="仿宋_GB2312"/>
          <w:snapToGrid w:val="0"/>
          <w:color w:val="000000"/>
          <w:kern w:val="0"/>
          <w:sz w:val="32"/>
          <w:szCs w:val="28"/>
          <w:lang w:val="en-US" w:eastAsia="zh-CN"/>
        </w:rPr>
        <w:t>可以</w:t>
      </w:r>
      <w:r>
        <w:rPr>
          <w:rFonts w:hint="eastAsia" w:ascii="仿宋_GB2312" w:hAnsi="仿宋_GB2312" w:eastAsia="仿宋_GB2312" w:cs="仿宋_GB2312"/>
          <w:snapToGrid w:val="0"/>
          <w:color w:val="000000"/>
          <w:kern w:val="0"/>
          <w:sz w:val="32"/>
          <w:szCs w:val="28"/>
        </w:rPr>
        <w:t>设立</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委、</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政府或</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专项指挥机构亦可依据事发地党委政府请求、</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相关部门建议或根据实际工作需要决定设立</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现场指挥部，赶赴现场统一指挥应对处置工作。</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现场指挥部总指挥由</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领导担任，亦可由</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委、</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政府或</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专项指挥机构指定的负责同志担任，成员视情可由</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直相关部门、事发地党委政府及相关部门、武警部队和有关单位人员等担任。根据工作需要，</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现场指挥部可以下设若干工作组。</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现场指挥部作为</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委、</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政府或</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专项指挥机构的派出机构，直接对</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委、</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政府或</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专项指挥机构负责。</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现场指挥部实行总指挥负责制，按照</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委、</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政府或</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专项指挥机构的授权组织制定并实施现场应急处置方案，指挥、协调有关单位和个人参加现场应急处置。参加现场应急处置的单位和个人</w:t>
      </w:r>
      <w:r>
        <w:rPr>
          <w:rFonts w:hint="eastAsia" w:ascii="仿宋_GB2312" w:hAnsi="仿宋_GB2312" w:eastAsia="仿宋_GB2312" w:cs="仿宋_GB2312"/>
          <w:snapToGrid w:val="0"/>
          <w:color w:val="000000"/>
          <w:kern w:val="0"/>
          <w:sz w:val="32"/>
          <w:szCs w:val="28"/>
          <w:lang w:val="en-US" w:eastAsia="zh-CN"/>
        </w:rPr>
        <w:t>应当</w:t>
      </w:r>
      <w:r>
        <w:rPr>
          <w:rFonts w:hint="eastAsia" w:ascii="仿宋_GB2312" w:hAnsi="仿宋_GB2312" w:eastAsia="仿宋_GB2312" w:cs="仿宋_GB2312"/>
          <w:snapToGrid w:val="0"/>
          <w:color w:val="000000"/>
          <w:kern w:val="0"/>
          <w:sz w:val="32"/>
          <w:szCs w:val="28"/>
        </w:rPr>
        <w:t>服从</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现场指挥部的统一指挥。</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现场指挥部设立后，如果先期</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委、</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政府或</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专项指挥机构已经派出</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工作指导组，则</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工作指导组并入</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现场指挥部。事发地党委政府指挥部在</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现场指挥部统一指挥下开展工作。根据突发事件等级，</w:t>
      </w:r>
      <w:r>
        <w:rPr>
          <w:rFonts w:hint="eastAsia" w:ascii="仿宋_GB2312" w:hAnsi="仿宋_GB2312" w:eastAsia="仿宋_GB2312" w:cs="仿宋_GB2312"/>
          <w:snapToGrid w:val="0"/>
          <w:color w:val="000000"/>
          <w:kern w:val="0"/>
          <w:sz w:val="32"/>
          <w:szCs w:val="28"/>
          <w:lang w:val="en-US" w:eastAsia="zh-CN"/>
        </w:rPr>
        <w:t>省、市</w:t>
      </w:r>
      <w:r>
        <w:rPr>
          <w:rFonts w:hint="eastAsia" w:ascii="仿宋_GB2312" w:hAnsi="仿宋_GB2312" w:eastAsia="仿宋_GB2312" w:cs="仿宋_GB2312"/>
          <w:snapToGrid w:val="0"/>
          <w:color w:val="000000"/>
          <w:kern w:val="0"/>
          <w:sz w:val="32"/>
          <w:szCs w:val="28"/>
        </w:rPr>
        <w:t>决定设立</w:t>
      </w:r>
      <w:r>
        <w:rPr>
          <w:rFonts w:hint="eastAsia" w:ascii="仿宋_GB2312" w:hAnsi="仿宋_GB2312" w:eastAsia="仿宋_GB2312" w:cs="仿宋_GB2312"/>
          <w:snapToGrid w:val="0"/>
          <w:color w:val="000000"/>
          <w:kern w:val="0"/>
          <w:sz w:val="32"/>
          <w:szCs w:val="28"/>
          <w:lang w:val="en-US" w:eastAsia="zh-CN"/>
        </w:rPr>
        <w:t>相应</w:t>
      </w:r>
      <w:r>
        <w:rPr>
          <w:rFonts w:hint="eastAsia" w:ascii="仿宋_GB2312" w:hAnsi="仿宋_GB2312" w:eastAsia="仿宋_GB2312" w:cs="仿宋_GB2312"/>
          <w:snapToGrid w:val="0"/>
          <w:color w:val="000000"/>
          <w:kern w:val="0"/>
          <w:sz w:val="32"/>
          <w:szCs w:val="28"/>
        </w:rPr>
        <w:t>现场指挥部的，</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现场指挥部并入</w:t>
      </w:r>
      <w:r>
        <w:rPr>
          <w:rFonts w:hint="eastAsia" w:ascii="仿宋_GB2312" w:hAnsi="仿宋_GB2312" w:eastAsia="仿宋_GB2312" w:cs="仿宋_GB2312"/>
          <w:snapToGrid w:val="0"/>
          <w:color w:val="000000"/>
          <w:kern w:val="0"/>
          <w:sz w:val="32"/>
          <w:szCs w:val="28"/>
          <w:lang w:val="en-US" w:eastAsia="zh-CN"/>
        </w:rPr>
        <w:t>相应</w:t>
      </w:r>
      <w:r>
        <w:rPr>
          <w:rFonts w:hint="eastAsia" w:ascii="仿宋_GB2312" w:hAnsi="仿宋_GB2312" w:eastAsia="仿宋_GB2312" w:cs="仿宋_GB2312"/>
          <w:snapToGrid w:val="0"/>
          <w:color w:val="000000"/>
          <w:kern w:val="0"/>
          <w:sz w:val="32"/>
          <w:szCs w:val="28"/>
        </w:rPr>
        <w:t>现场指挥部，接受统一指挥</w:t>
      </w:r>
      <w:r>
        <w:rPr>
          <w:rFonts w:hint="eastAsia" w:ascii="Times New Roman" w:hAnsi="Times New Roman" w:eastAsia="方正仿宋_GB2312" w:cs="Times New Roman"/>
          <w:snapToGrid w:val="0"/>
          <w:color w:val="000000"/>
          <w:kern w:val="0"/>
          <w:sz w:val="32"/>
          <w:szCs w:val="28"/>
          <w:lang w:val="en-US" w:eastAsia="zh-CN"/>
        </w:rPr>
        <w:t>。</w:t>
      </w:r>
    </w:p>
    <w:p>
      <w:pPr>
        <w:pStyle w:val="3"/>
        <w:bidi w:val="0"/>
        <w:rPr>
          <w:rFonts w:hint="eastAsia"/>
          <w:color w:val="auto"/>
          <w:lang w:val="en-US" w:eastAsia="zh-CN"/>
        </w:rPr>
      </w:pPr>
      <w:bookmarkStart w:id="29" w:name="_bookmark16"/>
      <w:bookmarkEnd w:id="29"/>
      <w:bookmarkStart w:id="30" w:name="_Toc936"/>
      <w:r>
        <w:rPr>
          <w:rFonts w:hint="eastAsia"/>
          <w:color w:val="auto"/>
          <w:lang w:val="en-US" w:eastAsia="zh-CN"/>
        </w:rPr>
        <w:t>2.5各乡镇、经开区组织机构</w:t>
      </w:r>
      <w:bookmarkEnd w:id="30"/>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各乡镇、经开区应当参照县级组织机构，结合本地实际，明确本级突发事件应对的领导机构，进一步完善应急管理领导体制和突发事件应急指挥机制，贯彻落实国家和省、市、县关于应急管理工作的决策部署，结合实际强化应急管理职责，统筹制定本行政区域应急管理政策措施，研究解决本级应急管理体系规划、风险防控、应急准备、救援处置、考核、奖惩等重大问题，组织防范和应对本行政区域内的突发事件。</w:t>
      </w:r>
    </w:p>
    <w:p>
      <w:pPr>
        <w:kinsoku w:val="0"/>
        <w:autoSpaceDE w:val="0"/>
        <w:autoSpaceDN w:val="0"/>
        <w:bidi w:val="0"/>
        <w:adjustRightInd w:val="0"/>
        <w:snapToGrid w:val="0"/>
        <w:spacing w:line="360" w:lineRule="auto"/>
        <w:ind w:firstLine="640" w:firstLineChars="200"/>
        <w:textAlignment w:val="baseline"/>
        <w:rPr>
          <w:rFonts w:hint="default"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村、社区等基层组织要结合实际做好应急管理相关工作。</w:t>
      </w:r>
    </w:p>
    <w:p>
      <w:pPr>
        <w:pStyle w:val="3"/>
        <w:bidi w:val="0"/>
        <w:rPr>
          <w:rFonts w:hint="eastAsia"/>
          <w:color w:val="auto"/>
          <w:lang w:val="en-US" w:eastAsia="zh-CN"/>
        </w:rPr>
      </w:pPr>
      <w:bookmarkStart w:id="31" w:name="_bookmark17"/>
      <w:bookmarkEnd w:id="31"/>
      <w:bookmarkStart w:id="32" w:name="_Toc21677"/>
      <w:r>
        <w:rPr>
          <w:rFonts w:hint="eastAsia"/>
          <w:color w:val="auto"/>
          <w:lang w:val="en-US" w:eastAsia="zh-CN"/>
        </w:rPr>
        <w:t>2.6专家组</w:t>
      </w:r>
      <w:bookmarkEnd w:id="32"/>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color w:val="auto"/>
          <w:kern w:val="2"/>
          <w:sz w:val="30"/>
          <w:szCs w:val="30"/>
          <w:lang w:val="en-US" w:eastAsia="zh-CN" w:bidi="ar-SA"/>
        </w:rPr>
      </w:pPr>
      <w:r>
        <w:rPr>
          <w:rFonts w:hint="eastAsia" w:ascii="仿宋_GB2312" w:hAnsi="仿宋_GB2312" w:eastAsia="仿宋_GB2312" w:cs="仿宋_GB2312"/>
          <w:snapToGrid w:val="0"/>
          <w:color w:val="auto"/>
          <w:kern w:val="0"/>
          <w:sz w:val="32"/>
          <w:szCs w:val="28"/>
          <w:lang w:val="en-US" w:eastAsia="zh-CN"/>
        </w:rPr>
        <w:t>本县突发事件应急救援专家由省、市专家库抽调提供，根据需要抽调有关专家组成专家组，为突发事件预防与应急准备、应急处置和救援、调查评估等工作提供技术支持。</w:t>
      </w:r>
    </w:p>
    <w:p>
      <w:pPr>
        <w:pStyle w:val="2"/>
        <w:bidi w:val="0"/>
        <w:rPr>
          <w:rFonts w:hint="eastAsia"/>
          <w:b w:val="0"/>
          <w:bCs w:val="0"/>
          <w:lang w:val="en-US" w:eastAsia="zh-CN"/>
        </w:rPr>
      </w:pPr>
      <w:bookmarkStart w:id="33" w:name="_Toc13249"/>
      <w:r>
        <w:rPr>
          <w:rFonts w:hint="eastAsia"/>
          <w:b w:val="0"/>
          <w:bCs w:val="0"/>
          <w:lang w:val="en-US" w:eastAsia="zh-CN"/>
        </w:rPr>
        <w:t>3风险防控与监测预警</w:t>
      </w:r>
      <w:bookmarkEnd w:id="33"/>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各级政府要建立健全应对突发事件的风险防控、监测预警、信息报告、应急处置与救援、恢复重建等工作机制。</w:t>
      </w:r>
    </w:p>
    <w:p>
      <w:pPr>
        <w:pStyle w:val="3"/>
        <w:bidi w:val="0"/>
        <w:rPr>
          <w:rFonts w:hint="eastAsia"/>
          <w:color w:val="auto"/>
          <w:lang w:val="en-US" w:eastAsia="zh-CN"/>
        </w:rPr>
      </w:pPr>
      <w:bookmarkStart w:id="34" w:name="_bookmark19"/>
      <w:bookmarkEnd w:id="34"/>
      <w:bookmarkStart w:id="35" w:name="_Toc909"/>
      <w:r>
        <w:rPr>
          <w:rFonts w:hint="eastAsia"/>
          <w:color w:val="auto"/>
          <w:lang w:val="en-US" w:eastAsia="zh-CN"/>
        </w:rPr>
        <w:t>3.1风险防控</w:t>
      </w:r>
      <w:bookmarkEnd w:id="35"/>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各级政府制定实施国民经济和社会发展规划，应当充分考虑公共安全风险以及预防和处置突发事件的需要，城乡建设等有关规划应当充分考虑公共安全风险因素，按照底线思维，统筹安排应对突发事件所必需的设备准备和基础设施建设，提高突发事件综合应对能力。</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按照“关口前移、重心下沉、源头管控”的原则，建立健全突发事件风险辨识、分析、会商、研判、防控等制度，从源头上防范化解重大风险。对重大关键基础设施、重大风险隐患、重大活动等要按照“谁经营、谁主管、谁举办”谁负责的原则，进行风险辨识与评估，落实风险防控责任，采取切实有效的防控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各专项指挥机构和工作机构要依法对行业（领域）内风险点、危险源、危险区域进行调查、辨识、评估、分级、登记，建立台账，定期进行检查、监控，责令有关单位采取防范化解措施。建立风险信息互通共享机制，推动形成完整的风险管理数据库。对重大风险点和危险源，制定防控措施、整改方案和应急预案，同时做好监控和应急准备工作；对一些影响大，群众反映强烈的普遍性和倾向性社会问题，要研究采取政策、规范等治本措施，力求从根本上解决；必要时，要立即报告本级政府和上级政府有关部门，通报当地驻军和可能受到危害的毗邻或有关的政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（3）基层组织机构应建立完善网格化风险防控体系，及时发现和处置风险隐患，落实风险管控措施，加强风险隐患全过程管理，做好应急准备。</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重点战略物资储备库、重点水利水电工程、重要油气输送管道、重要油气储运设施、铁路客运专线和繁忙干线、城市轨道交通、超高压输变电工程、大型桥梁、重要通信枢纽、支付清算系统等重大关键基础设施设计单位要科学选址、优化布局，进行风险评估、可行性论证，增强防灾抗灾和风险管控能力；运营与维护单位要建立完善日常安全和风险管理制度；属地政府及其有关部门要加强安全监督检查。</w:t>
      </w:r>
    </w:p>
    <w:p>
      <w:pPr>
        <w:pStyle w:val="3"/>
        <w:bidi w:val="0"/>
        <w:rPr>
          <w:rFonts w:hint="eastAsia"/>
          <w:color w:val="auto"/>
          <w:lang w:val="en-US" w:eastAsia="zh-CN"/>
        </w:rPr>
      </w:pPr>
      <w:bookmarkStart w:id="36" w:name="_bookmark20"/>
      <w:bookmarkEnd w:id="36"/>
      <w:bookmarkStart w:id="37" w:name="_Toc25276"/>
      <w:r>
        <w:rPr>
          <w:rFonts w:hint="eastAsia"/>
          <w:color w:val="auto"/>
          <w:lang w:val="en-US" w:eastAsia="zh-CN"/>
        </w:rPr>
        <w:t>3.2监测预警</w:t>
      </w:r>
      <w:bookmarkEnd w:id="37"/>
    </w:p>
    <w:p>
      <w:pPr>
        <w:pStyle w:val="4"/>
        <w:bidi w:val="0"/>
        <w:rPr>
          <w:rFonts w:hint="eastAsia"/>
          <w:lang w:val="en-US" w:eastAsia="zh-CN"/>
        </w:rPr>
      </w:pPr>
      <w:bookmarkStart w:id="38" w:name="_Toc20646"/>
      <w:bookmarkStart w:id="39" w:name="_Toc22632"/>
      <w:r>
        <w:rPr>
          <w:rFonts w:hint="eastAsia"/>
          <w:lang w:val="en-US" w:eastAsia="zh-CN"/>
        </w:rPr>
        <w:t>3.2.1</w:t>
      </w:r>
      <w:r>
        <w:rPr>
          <w:rFonts w:hint="eastAsia" w:ascii="楷体_GB2312" w:hAnsi="楷体_GB2312" w:eastAsia="楷体_GB2312" w:cs="楷体_GB2312"/>
          <w:lang w:val="en-US" w:eastAsia="zh-CN"/>
        </w:rPr>
        <w:t>监测</w:t>
      </w:r>
      <w:bookmarkEnd w:id="38"/>
      <w:bookmarkEnd w:id="39"/>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bookmarkStart w:id="40" w:name="_Toc2066"/>
      <w:r>
        <w:rPr>
          <w:rFonts w:hint="eastAsia" w:ascii="仿宋_GB2312" w:hAnsi="仿宋_GB2312" w:eastAsia="仿宋_GB2312" w:cs="仿宋_GB2312"/>
          <w:snapToGrid w:val="0"/>
          <w:color w:val="auto"/>
          <w:kern w:val="0"/>
          <w:sz w:val="32"/>
          <w:szCs w:val="28"/>
          <w:lang w:val="en-US" w:eastAsia="zh-CN"/>
        </w:rPr>
        <w:t xml:space="preserve">各级政府及有关部门应当建立健全突发事件监测制度，整合监测信息资源，完善信息资源获取和共享机制，各类突发事件应对工作主要牵头部门负责相应突发事件监测信息集成。 </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根据突发事件种类和特点，建立健全地震、地质、气象、洪涝、干旱、森林草原火灾、矿山开采、尾矿库、危险化学品及烟花爆竹生产和储运、排污单位、重大关键基础设施、传染病疫情、野生动物疫情等基础信息数据库，完善监测网络，划分监测区域，确定监测点，明确监测项目，提供必要的设备、设施，配备专职或兼职人员，对可能发生的突发事件进行监测。各类突发事件应对工作主要牵头部门要加强有关行业重大风险监控方面的研究，对重大风险点、危险源进行有效辨识、监测，以便采取有效措施进行防范，减少或杜绝发生重大损失。</w:t>
      </w:r>
      <w:bookmarkStart w:id="41" w:name="_Toc239"/>
    </w:p>
    <w:p>
      <w:pPr>
        <w:pStyle w:val="4"/>
        <w:bidi w:val="0"/>
        <w:ind w:left="0" w:leftChars="0" w:firstLine="643" w:firstLineChars="200"/>
        <w:rPr>
          <w:rFonts w:hint="eastAsia"/>
          <w:lang w:val="en-US" w:eastAsia="zh-CN"/>
        </w:rPr>
      </w:pPr>
      <w:r>
        <w:rPr>
          <w:rFonts w:hint="eastAsia"/>
          <w:lang w:val="en-US" w:eastAsia="zh-CN"/>
        </w:rPr>
        <w:t>3.2.2</w:t>
      </w:r>
      <w:r>
        <w:rPr>
          <w:rFonts w:hint="eastAsia" w:ascii="楷体_GB2312" w:hAnsi="楷体_GB2312" w:eastAsia="楷体_GB2312" w:cs="楷体_GB2312"/>
          <w:lang w:val="en-US" w:eastAsia="zh-CN"/>
        </w:rPr>
        <w:t>预警</w:t>
      </w:r>
      <w:bookmarkEnd w:id="40"/>
      <w:bookmarkEnd w:id="41"/>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各级政府及有关部门要建立健全突发事件预警制度，统筹运用各类传播渠道，提高预警信息时效性和覆盖面，解决预警信息发布“最后一公里”问题。</w:t>
      </w:r>
    </w:p>
    <w:p>
      <w:pPr>
        <w:kinsoku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楷体_GB2312" w:hAnsi="楷体_GB2312" w:eastAsia="楷体_GB2312" w:cs="楷体_GB2312"/>
          <w:b/>
          <w:bCs/>
          <w:snapToGrid w:val="0"/>
          <w:color w:val="auto"/>
          <w:kern w:val="0"/>
          <w:sz w:val="32"/>
          <w:szCs w:val="28"/>
          <w:lang w:val="en-US" w:eastAsia="zh-CN"/>
        </w:rPr>
        <w:t>（一）确定预警级别。</w:t>
      </w:r>
      <w:r>
        <w:rPr>
          <w:rFonts w:hint="eastAsia" w:ascii="仿宋_GB2312" w:hAnsi="仿宋_GB2312" w:eastAsia="仿宋_GB2312" w:cs="仿宋_GB2312"/>
          <w:snapToGrid w:val="0"/>
          <w:color w:val="auto"/>
          <w:kern w:val="0"/>
          <w:sz w:val="32"/>
          <w:szCs w:val="28"/>
          <w:lang w:val="en-US" w:eastAsia="zh-CN"/>
        </w:rPr>
        <w:t>对可以预警的自然灾害、事故灾难或公共卫生事件，有关部门接到相关征兆信息后，及时组织进行分析评估，研判发生的可能性、强度和影响范围以及可能发生的次生衍生突发事件类别，确定预警级别。按照突发事件发生的紧急程度、发展势态和可能造成的危害程度分为一级、二级、三级和四级，分别用红色、橙色、黄色和蓝色标示，一级为最高级别。预警级别划分按国家标准执行。红色等级（一级）：预计将要发生特别重大以上突发事件，事件会随时发生，事态正在不断蔓延。橙色等级（二级）：预计将要发生重大以上突发事件，事件即将发生，事态正在逐步扩大。黄色等级（三级）：预计将要发生较大以上突发事件，事件已经临近，事态有扩大的趋势。蓝色等级（四级）：预计将要发生一般以上突发事件，事件即将临近，事态可能会扩大。</w:t>
      </w:r>
    </w:p>
    <w:p>
      <w:pPr>
        <w:kinsoku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楷体_GB2312" w:hAnsi="楷体_GB2312" w:eastAsia="楷体_GB2312" w:cs="楷体_GB2312"/>
          <w:b/>
          <w:bCs/>
          <w:snapToGrid w:val="0"/>
          <w:color w:val="auto"/>
          <w:kern w:val="0"/>
          <w:sz w:val="32"/>
          <w:szCs w:val="28"/>
          <w:lang w:val="en-US" w:eastAsia="zh-CN"/>
        </w:rPr>
        <w:t>（二）发布预警信息。</w:t>
      </w:r>
      <w:r>
        <w:rPr>
          <w:rFonts w:hint="eastAsia" w:ascii="仿宋_GB2312" w:hAnsi="仿宋_GB2312" w:eastAsia="仿宋_GB2312" w:cs="仿宋_GB2312"/>
          <w:snapToGrid w:val="0"/>
          <w:color w:val="auto"/>
          <w:kern w:val="0"/>
          <w:sz w:val="32"/>
          <w:szCs w:val="28"/>
          <w:lang w:val="en-US" w:eastAsia="zh-CN"/>
        </w:rPr>
        <w:t>分析评估结果确认突发事件即将发生或者发生的可能性增大时，县政府、各乡镇、经开区政府或有关部门根据分析评估结果，按有关规定立即发布预警信息，及时向上一级政府或相应部门报告，必要时可以越级上报，并向当地驻军、企事业单位和可能受到危害的毗邻或有关地区的政府通报。根据事态发展，适时调整预警级别并重新报告、通报和发布有关突发事件预测信息和分析评估结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预警信息的发布和调整要充分发挥突发事件预警信息发布系统的作用，有效利用传统媒体和新媒体的特点，通过广播、电视、报刊、通信与信息网络、警报器、宣传车、大喇叭或组织人员逐户通知等方式进行，对老、幼、病、残、孕等特殊人群以及学校等特殊场所和警报盲区，应当采取有针对性的通知方式，确保预警信息全覆盖、无遗漏、无死角。承担应急处置职责的有关单位接收到预警信息后，应当及时向发布预警信息的单位反馈接收结果。</w:t>
      </w:r>
    </w:p>
    <w:p>
      <w:pPr>
        <w:kinsoku w:val="0"/>
        <w:autoSpaceDE w:val="0"/>
        <w:autoSpaceDN w:val="0"/>
        <w:bidi w:val="0"/>
        <w:adjustRightInd w:val="0"/>
        <w:snapToGrid w:val="0"/>
        <w:spacing w:line="360" w:lineRule="auto"/>
        <w:ind w:firstLine="643" w:firstLineChars="200"/>
        <w:textAlignment w:val="baseline"/>
        <w:rPr>
          <w:rFonts w:hint="eastAsia" w:ascii="楷体_GB2312" w:hAnsi="楷体_GB2312" w:eastAsia="楷体_GB2312" w:cs="楷体_GB2312"/>
          <w:b/>
          <w:bCs/>
          <w:snapToGrid w:val="0"/>
          <w:color w:val="auto"/>
          <w:kern w:val="0"/>
          <w:sz w:val="32"/>
          <w:szCs w:val="28"/>
          <w:lang w:val="en-US" w:eastAsia="zh-CN"/>
        </w:rPr>
      </w:pPr>
      <w:r>
        <w:rPr>
          <w:rFonts w:hint="eastAsia" w:ascii="楷体_GB2312" w:hAnsi="楷体_GB2312" w:eastAsia="楷体_GB2312" w:cs="楷体_GB2312"/>
          <w:b/>
          <w:bCs/>
          <w:snapToGrid w:val="0"/>
          <w:color w:val="auto"/>
          <w:kern w:val="0"/>
          <w:sz w:val="32"/>
          <w:szCs w:val="28"/>
          <w:lang w:val="en-US" w:eastAsia="zh-CN"/>
        </w:rPr>
        <w:t>（三）采取预警措施。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（1）发布蓝色、黄色预警后，有关方面应采取下列一项或多项措施：</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rPr>
        <w:t>①</w:t>
      </w:r>
      <w:r>
        <w:rPr>
          <w:rFonts w:hint="eastAsia" w:ascii="仿宋_GB2312" w:hAnsi="仿宋_GB2312" w:eastAsia="仿宋_GB2312" w:cs="仿宋_GB2312"/>
          <w:snapToGrid w:val="0"/>
          <w:color w:val="auto"/>
          <w:kern w:val="0"/>
          <w:sz w:val="32"/>
          <w:szCs w:val="28"/>
          <w:lang w:val="en-US" w:eastAsia="zh-CN"/>
        </w:rPr>
        <w:t>责令有关部门、专业机构、监测网点和负有信息报告职责的人员增加观测频次，及时收集、报告有关信息，加强预报和预警工作。</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rPr>
        <w:t>②</w:t>
      </w:r>
      <w:r>
        <w:rPr>
          <w:rFonts w:hint="eastAsia" w:ascii="仿宋_GB2312" w:hAnsi="仿宋_GB2312" w:eastAsia="仿宋_GB2312" w:cs="仿宋_GB2312"/>
          <w:snapToGrid w:val="0"/>
          <w:color w:val="auto"/>
          <w:kern w:val="0"/>
          <w:sz w:val="32"/>
          <w:szCs w:val="28"/>
          <w:lang w:val="en-US" w:eastAsia="zh-CN"/>
        </w:rPr>
        <w:t>组织有关部门和机构、专业技术人员、专家学者随时对突发事件信息进行分析评估，预测发生突发事件可能性的大小、影响范围和可能发生的突发事件级别。</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rPr>
        <w:t>③</w:t>
      </w:r>
      <w:r>
        <w:rPr>
          <w:rFonts w:hint="eastAsia" w:ascii="仿宋_GB2312" w:hAnsi="仿宋_GB2312" w:eastAsia="仿宋_GB2312" w:cs="仿宋_GB2312"/>
          <w:snapToGrid w:val="0"/>
          <w:color w:val="auto"/>
          <w:kern w:val="0"/>
          <w:sz w:val="32"/>
          <w:szCs w:val="28"/>
          <w:lang w:val="en-US" w:eastAsia="zh-CN"/>
        </w:rPr>
        <w:t>及时向社会发布与公众有关的突发事件预测信息和分析评估结果，并对有关信息的报道工作进行管理。</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rPr>
        <w:t>④</w:t>
      </w:r>
      <w:r>
        <w:rPr>
          <w:rFonts w:hint="eastAsia" w:ascii="仿宋_GB2312" w:hAnsi="仿宋_GB2312" w:eastAsia="仿宋_GB2312" w:cs="仿宋_GB2312"/>
          <w:snapToGrid w:val="0"/>
          <w:color w:val="auto"/>
          <w:kern w:val="0"/>
          <w:sz w:val="32"/>
          <w:szCs w:val="28"/>
          <w:lang w:val="en-US" w:eastAsia="zh-CN"/>
        </w:rPr>
        <w:t>加强公众沟通，向社会公布反映突发事件信息的渠道，及时按照有关规定向社会公告采取的有关特定措施、避免或减轻危害的建议和劝告等。</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lang w:bidi="ar"/>
        </w:rPr>
        <w:t>⑤</w:t>
      </w:r>
      <w:r>
        <w:rPr>
          <w:rFonts w:hint="eastAsia" w:ascii="仿宋_GB2312" w:hAnsi="仿宋_GB2312" w:eastAsia="仿宋_GB2312" w:cs="仿宋_GB2312"/>
          <w:snapToGrid w:val="0"/>
          <w:color w:val="auto"/>
          <w:kern w:val="0"/>
          <w:sz w:val="32"/>
          <w:szCs w:val="28"/>
          <w:lang w:val="en-US" w:eastAsia="zh-CN"/>
        </w:rPr>
        <w:t>其他必要的预警措施。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（2）发布橙色、红色预警后，有关方面在采取蓝色、黄色预警措施的基础上，还应针对即将发生的突发事件特点和可能造成的危害，采取下列一项或多项措施：</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rPr>
        <w:t>①</w:t>
      </w:r>
      <w:r>
        <w:rPr>
          <w:rFonts w:hint="eastAsia" w:ascii="仿宋_GB2312" w:hAnsi="仿宋_GB2312" w:eastAsia="仿宋_GB2312" w:cs="仿宋_GB2312"/>
          <w:snapToGrid w:val="0"/>
          <w:color w:val="auto"/>
          <w:kern w:val="0"/>
          <w:sz w:val="32"/>
          <w:szCs w:val="28"/>
          <w:lang w:val="en-US" w:eastAsia="zh-CN"/>
        </w:rPr>
        <w:t>组织应急队伍和负有特定职责的人员进入待命状态，动员后备人员做好参加应急处置和救援工作的准备，视情预置有关队伍、装备、物资等应急资源。</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rPr>
        <w:t>②</w:t>
      </w:r>
      <w:r>
        <w:rPr>
          <w:rFonts w:hint="eastAsia" w:ascii="仿宋_GB2312" w:hAnsi="仿宋_GB2312" w:eastAsia="仿宋_GB2312" w:cs="仿宋_GB2312"/>
          <w:snapToGrid w:val="0"/>
          <w:color w:val="auto"/>
          <w:kern w:val="0"/>
          <w:sz w:val="32"/>
          <w:szCs w:val="28"/>
          <w:lang w:val="en-US" w:eastAsia="zh-CN"/>
        </w:rPr>
        <w:t>调集应急处置所需物资、设备、工具等，准备应急设施和避难场所，确保其处于良好状态、随时可以投入正常使用。</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rPr>
        <w:t>③</w:t>
      </w:r>
      <w:r>
        <w:rPr>
          <w:rFonts w:hint="eastAsia" w:ascii="仿宋_GB2312" w:hAnsi="仿宋_GB2312" w:eastAsia="仿宋_GB2312" w:cs="仿宋_GB2312"/>
          <w:snapToGrid w:val="0"/>
          <w:color w:val="auto"/>
          <w:kern w:val="0"/>
          <w:sz w:val="32"/>
          <w:szCs w:val="28"/>
          <w:lang w:val="en-US" w:eastAsia="zh-CN"/>
        </w:rPr>
        <w:t>加强对重点单位、重要部位和重要基础设施的安全保卫，维护社会治安秩序。</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rPr>
        <w:t>④</w:t>
      </w:r>
      <w:r>
        <w:rPr>
          <w:rFonts w:hint="eastAsia" w:ascii="仿宋_GB2312" w:hAnsi="仿宋_GB2312" w:eastAsia="仿宋_GB2312" w:cs="仿宋_GB2312"/>
          <w:snapToGrid w:val="0"/>
          <w:color w:val="auto"/>
          <w:kern w:val="0"/>
          <w:sz w:val="32"/>
          <w:szCs w:val="28"/>
          <w:lang w:val="en-US" w:eastAsia="zh-CN"/>
        </w:rPr>
        <w:t>采取必要措施，确保交通、通信、供水、排水、供电、供气、供热等公共设施的安全和正常运行。</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lang w:bidi="ar"/>
        </w:rPr>
        <w:t>⑤</w:t>
      </w:r>
      <w:r>
        <w:rPr>
          <w:rFonts w:hint="eastAsia" w:ascii="仿宋_GB2312" w:hAnsi="仿宋_GB2312" w:eastAsia="仿宋_GB2312" w:cs="仿宋_GB2312"/>
          <w:snapToGrid w:val="0"/>
          <w:color w:val="auto"/>
          <w:kern w:val="0"/>
          <w:sz w:val="32"/>
          <w:szCs w:val="28"/>
          <w:lang w:val="en-US" w:eastAsia="zh-CN"/>
        </w:rPr>
        <w:t>转移、疏散或者撤离易受突发事件危害的人员并予以妥善安置，转移重要财产。</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lang w:bidi="ar"/>
        </w:rPr>
        <w:t>⑥</w:t>
      </w:r>
      <w:r>
        <w:rPr>
          <w:rFonts w:hint="eastAsia" w:ascii="仿宋_GB2312" w:hAnsi="仿宋_GB2312" w:eastAsia="仿宋_GB2312" w:cs="仿宋_GB2312"/>
          <w:snapToGrid w:val="0"/>
          <w:color w:val="auto"/>
          <w:kern w:val="0"/>
          <w:sz w:val="32"/>
          <w:szCs w:val="28"/>
          <w:lang w:val="en-US" w:eastAsia="zh-CN"/>
        </w:rPr>
        <w:t>关闭或者限制使用易受突发事件危害的场所，控制或者限制容易导致危害扩大的公共场所的活动。</w:t>
      </w:r>
    </w:p>
    <w:p>
      <w:pPr>
        <w:kinsoku w:val="0"/>
        <w:autoSpaceDE w:val="0"/>
        <w:autoSpaceDN w:val="0"/>
        <w:bidi w:val="0"/>
        <w:adjustRightInd w:val="0"/>
        <w:snapToGrid w:val="0"/>
        <w:spacing w:line="360" w:lineRule="auto"/>
        <w:ind w:firstLine="56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28"/>
          <w:szCs w:val="28"/>
          <w:lang w:bidi="ar"/>
        </w:rPr>
        <w:t>⑦</w:t>
      </w:r>
      <w:r>
        <w:rPr>
          <w:rFonts w:hint="eastAsia" w:ascii="仿宋_GB2312" w:hAnsi="仿宋_GB2312" w:eastAsia="仿宋_GB2312" w:cs="仿宋_GB2312"/>
          <w:snapToGrid w:val="0"/>
          <w:color w:val="auto"/>
          <w:kern w:val="0"/>
          <w:sz w:val="32"/>
          <w:szCs w:val="28"/>
          <w:lang w:val="en-US" w:eastAsia="zh-CN"/>
        </w:rPr>
        <w:t>其他必要的预警措施。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有关政府和部门发布预警后，其他有关政府和部门及时组织分析本地区和本行业可能受到影响的范围、程度等，安排部署有关防范性措施。</w:t>
      </w:r>
    </w:p>
    <w:p>
      <w:pPr>
        <w:kinsoku w:val="0"/>
        <w:autoSpaceDE w:val="0"/>
        <w:autoSpaceDN w:val="0"/>
        <w:bidi w:val="0"/>
        <w:adjustRightInd w:val="0"/>
        <w:snapToGrid w:val="0"/>
        <w:spacing w:line="360" w:lineRule="auto"/>
        <w:ind w:firstLine="643"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楷体_GB2312" w:hAnsi="楷体_GB2312" w:eastAsia="楷体_GB2312" w:cs="楷体_GB2312"/>
          <w:b/>
          <w:bCs/>
          <w:snapToGrid w:val="0"/>
          <w:color w:val="auto"/>
          <w:kern w:val="0"/>
          <w:sz w:val="32"/>
          <w:szCs w:val="28"/>
          <w:lang w:val="en-US" w:eastAsia="zh-CN"/>
        </w:rPr>
        <w:t>（四）调整、解除预警。</w:t>
      </w:r>
      <w:r>
        <w:rPr>
          <w:rFonts w:hint="eastAsia" w:ascii="仿宋_GB2312" w:hAnsi="仿宋_GB2312" w:eastAsia="仿宋_GB2312" w:cs="仿宋_GB2312"/>
          <w:snapToGrid w:val="0"/>
          <w:color w:val="auto"/>
          <w:kern w:val="0"/>
          <w:sz w:val="32"/>
          <w:szCs w:val="28"/>
          <w:lang w:val="en-US" w:eastAsia="zh-CN"/>
        </w:rPr>
        <w:t>加强预警信息动态管理，根据事态发展，适时调整预警级别，更新预警信息内容，及时报告、通报和发布有关情况。当突发事件风险已经解除，发布预警信息的政府或有关部门要立即宣布解除预警，终止预警期，解除已经采取的有关措施。</w:t>
      </w:r>
    </w:p>
    <w:p>
      <w:pPr>
        <w:pStyle w:val="2"/>
        <w:bidi w:val="0"/>
        <w:rPr>
          <w:rFonts w:hint="eastAsia"/>
          <w:b w:val="0"/>
          <w:bCs w:val="0"/>
          <w:lang w:val="en-US" w:eastAsia="zh-CN"/>
        </w:rPr>
      </w:pPr>
      <w:bookmarkStart w:id="42" w:name="_Toc24872"/>
      <w:r>
        <w:rPr>
          <w:rFonts w:hint="eastAsia"/>
          <w:b w:val="0"/>
          <w:bCs w:val="0"/>
          <w:lang w:val="en-US" w:eastAsia="zh-CN"/>
        </w:rPr>
        <w:t>4应急响应</w:t>
      </w:r>
      <w:bookmarkEnd w:id="42"/>
    </w:p>
    <w:p>
      <w:pPr>
        <w:pStyle w:val="3"/>
        <w:bidi w:val="0"/>
        <w:rPr>
          <w:rFonts w:hint="eastAsia"/>
          <w:color w:val="auto"/>
          <w:lang w:val="en-US" w:eastAsia="zh-CN"/>
        </w:rPr>
      </w:pPr>
      <w:bookmarkStart w:id="43" w:name="_bookmark21"/>
      <w:bookmarkEnd w:id="43"/>
      <w:bookmarkStart w:id="44" w:name="_bookmark22"/>
      <w:bookmarkEnd w:id="44"/>
      <w:bookmarkStart w:id="45" w:name="_Toc4031"/>
      <w:r>
        <w:rPr>
          <w:rFonts w:hint="eastAsia"/>
          <w:color w:val="auto"/>
          <w:lang w:val="en-US" w:eastAsia="zh-CN"/>
        </w:rPr>
        <w:t>4.1信息报告</w:t>
      </w:r>
      <w:bookmarkEnd w:id="45"/>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县政府要积极推进安全风险网格化管理，完善基层网格员管理体制机制，统筹灾害信息员、群测群防员、气象信息员、网格员等资源，建立统一规范的基层网格员管理和激励制度，实现社区、村网格员全覆盖、无死角，同时承担风险隐患巡查报告、突发事件第一时间报告、第一时间先期处置、灾情统计报告等职责。</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突发事件发生或发现重大风险、隐患后，基层网格员和有关社区、村、企业、社会组织及有关专业机构、监测网点等要及时向所在地政府及其有关主管部门报告突发事件信息。有关主管部门要向本级政府相关部门通报。事发地政府及其有关部门按照国家有关规定向上级政府及其有关部门报送信息。根据事态进展，及时续报事件等有关情况。</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报告内容一般包括突发事件发生的时间、地点、信息来源、性质、简要经过、影响范围（含环境影响）、人员伤（病）亡和失联情况、房屋倒塌损坏情况、交通通信电力等基础设施损毁情况、现场救援情况和已经采取的其他措施等。</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各乡镇、各部门要及时向县委、县政府报告一般及以上等级突发事件信息，涉及有关自然灾害和生产安全事故的同时抄报县应急管理局，涉及突发公共卫生事件的同时抄报县卫生健康局，涉及社会安全事件的同时抄报县公安局。对于一些事件本身比较敏感或发生在重点地区、重要时期，或可能演化为特别重大、重大和较大突发事件的，不受突发事件分级标准限制。</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接到突发事件信息后，各乡镇、经开区及县有关部门要按照国家有关规定，立即如实向县政府及其有关部门报告，最迟不得超过1小时，不得迟报、谎报、瞒报和漏报，同时通报可能受影响的地区、部门和企事业单位。</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（5）涉及港澳台侨、外籍人员，或影响到境外的突发事件，需要向香港特别行政区、澳门特别行政区、台湾当局以及有关国家、地区、国际机构通报的，按照有关规定办理。</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6）县级应急管理部门建立健全信息快速获取机制，完善突发事件信息报送和信息共享系统，融合有关部门、乡镇的应急基础信息、地理信息、应急资源信息、预案和案例信息、事件动态信息等，为突发事件应对提供信息保障。鼓励获悉突发事件信息的公民主动向所在地政府、有关主管部门或者指定的专业机构报告。</w:t>
      </w:r>
    </w:p>
    <w:p>
      <w:pPr>
        <w:pStyle w:val="3"/>
        <w:bidi w:val="0"/>
        <w:rPr>
          <w:rFonts w:hint="eastAsia"/>
          <w:color w:val="auto"/>
          <w:lang w:val="en-US" w:eastAsia="zh-CN"/>
        </w:rPr>
      </w:pPr>
      <w:bookmarkStart w:id="46" w:name="_bookmark23"/>
      <w:bookmarkEnd w:id="46"/>
      <w:bookmarkStart w:id="47" w:name="_Toc16422"/>
      <w:r>
        <w:rPr>
          <w:rFonts w:hint="eastAsia"/>
          <w:color w:val="auto"/>
          <w:lang w:val="en-US" w:eastAsia="zh-CN"/>
        </w:rPr>
        <w:t>4.2先期处置</w:t>
      </w:r>
      <w:bookmarkEnd w:id="47"/>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事发单位要立即组织本单位应急队伍和工作人员营救遇险人员，疏散、撤离、安置受威胁人员；控制危险源，标明危险区域，封锁危险场所，并采取其他防止危害扩大的必要措施；迅速控制可疑的传染源，积极救治病人，组织医疗卫生人员加强个人防护；向所在地政府及其有关部门、单位报告。对因本单位的问题引发的或主体是本单位人员的社会安全事件，有关单位要迅速派出负责人赶赴现场开展劝解、疏导工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（2）事发地居民（村民）委员会和其他组织要立即进行宣传动员，组织群众开展自救和互救，协助维护社会秩序，或按照当地政府的决定、命令组织开展突发事件应对工作。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（3）各乡镇、经开区政府调动应急人员，采取措施控制事态发展，组织开展应急处置与救援工作，并及时向上级政府报告。</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（4）在境外发生涉及我县公民和机构的突发事件，县政府应及时启动应急机制，配合国家和省采取措施控制事态发展，保护我县公民和机构安全及合法权益，必要时配合国家派遣有关人员赴境外开展工作。</w:t>
      </w:r>
    </w:p>
    <w:p>
      <w:pPr>
        <w:pStyle w:val="3"/>
        <w:bidi w:val="0"/>
        <w:rPr>
          <w:rFonts w:hint="eastAsia"/>
          <w:color w:val="auto"/>
          <w:lang w:val="en-US" w:eastAsia="zh-CN"/>
        </w:rPr>
      </w:pPr>
      <w:bookmarkStart w:id="48" w:name="_bookmark24"/>
      <w:bookmarkEnd w:id="48"/>
      <w:bookmarkStart w:id="49" w:name="_Toc15520"/>
      <w:r>
        <w:rPr>
          <w:rFonts w:hint="eastAsia"/>
          <w:color w:val="auto"/>
          <w:lang w:val="en-US" w:eastAsia="zh-CN"/>
        </w:rPr>
        <w:t>4.3指挥协调</w:t>
      </w:r>
      <w:bookmarkEnd w:id="49"/>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组织指挥：上级政府及有关部门指导下级政府及有关部门开展应对工作。上级组织指挥机构设立后，下级组织指挥机构按照上级组织指挥机构要求做好应急处置与救援有关工作。超出事发地政府处置能力的，上一级政府根据事发地政府的请求或根据应对工作需要，指挥权可逐级提升至上级组织指挥机构。县政府对本行政区域内突发事件应对负有属地管理责任，要切实担负起突发事件应对责任，按照上级政府要求组织实施应急处置与救援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现场指挥。上级政府设立现场指挥机构的，下级政府的现场指挥机构应纳入上级现场指挥机构，在上级现场指挥机构的统一领导下组织开展突发事件应对工作。现场指挥机构要充分听取有关专家意见建议，设立指定的救援队伍集结点、物资接收点和分发点、新闻发布中心，并提供必要的后勤保障。到达突发事件现场的各方面应急力量要及时向现场指挥机构报到、受领任务，接受现场指挥机构的统一指挥调度，严格遵守交通管理、信息发布等工作要求，并及时报告现场情况和处置工作进展情况，实现信息共享。</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当国家、省或市现场指挥部（工作组）到达现场时，县内现场指挥机构要与其对接并接受业务指导，做好相应的保障工作。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协同联动。武警、民兵、国家综合性消防救援队伍和专业应急队伍等在党委、政府的统筹领导下参加突发事件应急处置和救援，按规定的指挥关系和指挥权限指挥。社会组织参与突发事件应急处置与救援，纳入现场指挥机构统一管理、统一调动、统一行动。县组织指挥机构根据突发事件现场实际情况，及时调度指挥有关应急资源开展应急处置与救援行动。</w:t>
      </w:r>
    </w:p>
    <w:p>
      <w:pPr>
        <w:pStyle w:val="3"/>
        <w:bidi w:val="0"/>
        <w:rPr>
          <w:rFonts w:hint="eastAsia"/>
          <w:color w:val="auto"/>
          <w:lang w:val="en-US" w:eastAsia="zh-CN"/>
        </w:rPr>
      </w:pPr>
      <w:bookmarkStart w:id="50" w:name="_bookmark25"/>
      <w:bookmarkEnd w:id="50"/>
      <w:bookmarkStart w:id="51" w:name="_Toc6034"/>
      <w:r>
        <w:rPr>
          <w:rFonts w:hint="eastAsia"/>
          <w:color w:val="auto"/>
          <w:lang w:val="en-US" w:eastAsia="zh-CN"/>
        </w:rPr>
        <w:t>4.4处置措施</w:t>
      </w:r>
      <w:bookmarkEnd w:id="51"/>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1、自然灾害、事故灾难或者公共卫生事件发生后，事发地各级政府应采取下列一项或者多项应急措施：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（2）组织营救受灾和被困人员，疏散、撤离并妥善安置受威胁人员，必要时组织动员社会应急力量有序参与应急处置与救援、受灾人员救助工作。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组织开展伤病员救治、卫生防疫和公共卫生调查处理、应急心理援助等医疗卫生工作，治疗传染病人和疑似病例，控制传染源，隔离和观察密切接触者，对易感人群采取应急接种、预防性服药、非药物干预措施和卫生防疫知识宣传。</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迅速组织开展抢险工作，控制危险源、减轻或消除危害，并标明危险区域，封锁危险场所，划定警戒区，实行交通管制以及其他控制措施，交通运输、铁路、民航、公安等有关部门要保证紧急情况下应急交通工具的优先安排、优先调度、优先放行，确保抢险救灾物资和人员能够及时、安全送达。</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（5）立即抢修被损坏的交通、水利、通信、给（排）水、供电、供气、供热等公共设施，短时难以恢复的，要实施临时过渡方案，保障社会生产生活基本需要。</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6）开展环境应急监测，追踪研判污染范围、程度和发展趋势；切断污染源，控制和处置污染物，保护饮用水水源地等环境敏感目标，减轻环境影响；开展灾后环境风险排查，整治污染隐患，妥善处置应对事件产生的废物。</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（7）禁止或者限制使用有关设备、设施，关闭或者限制使用有关场所，中止人员密集的活动或者可能导致危害扩大的生产经营活动以及采取其他保护措施。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（8）启用本级政府设置的财政预备费和储备的应急救援和救灾物资，必要时征用其他急需物资、设备、设施、工具。</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9）做好受灾群众的基本生活保障工作，提供食品、饮用水、衣被、燃料等基本生活必需品和临时住所，开展卫生防疫工作，确保灾区群众有饭吃、有水喝、有衣穿、有住处、有学上、有病能及时医治，确保大灾之后无大疫。</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（10）开展遇难人员善后处置工作，妥善处理遇难人员遗体，做好遇难人员家属安抚等工作。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（11）组织开展救灾捐赠活动，接收、管理、分配救灾捐赠款物。</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（12）依法从严惩处囤积居奇、哄抬物价、制假售假等扰乱市场秩序的行为，稳定市场价格，维护市场秩序。</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（13）依法从严惩处哄抢财物、干扰破坏应急处置工作等扰乱社会秩序的行为，维护社会治安。</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（14）采取防止发生次生、衍生灾害和事件的必要措施。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2、社会安全事件发生后，县级政府要立即组织有关部门针对事件的性质和特点，采取下列一项或者多项应急措施：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（1）尽快了解和分析事件起因，有针对性地开展法治宣传和说服教育，及时疏导、化解矛盾和冲突。</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（2）维护现场治安秩序，对使用器械相互对抗或以暴力行为参与冲突的当事人实行强制隔离，妥善解决现场纠纷和争端，控制事态发展。</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（3）对特定区域内的建筑物、交通工具、设备、设施以及燃料、燃气、电力、水的供应进行控制，必要时依法对网络、通信进行管控。</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（4）封锁有关场所、道路，查验现场人员的身份证件，限制有关公共场所内的活动。</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5）加强对易受冲击的核心机关和单位的警卫，在党政机关、军事机关、重要通讯社、广播电台、电视台、外国驻华机构等单位附近设置临时警戒线，加强对重点敏感人员、场所、部位和标志性建筑的安全保护。</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（6）严重危害社会治安秩序的事件发生时，立即依法出动警力，加大社会面检查、巡逻、控制力度，根据现场情况依法采取相应的强制性措施，尽快使社会秩序恢复正常。</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（7）法律法规等规定的其他必要措施。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交通运输、医学救援、能源供应、通信保障、灾害现场信息、应急物资装备、自然灾害救助、社会秩序、新闻宣传、遇难人员遗体处置、慈善力量动员等应急保障工作牵头协调部门，应会同支持配合部门和单位组织编制并指导下级有关部门编制应急保障类预案，督促做好保障体系建设，完善快速反应联动机制。应急保障类应急预案作为专项应急预案管理，应急部门负责做好衔接。</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当突发事件严重影响经济正常运行时，县级政府或授权的有关主管部门可以采取救助、保障、控制等必要的应急措施，保障人民群众的基本生产生活需要，最大程度减轻突发事件的影响。当发生或者即将发生重大突发事件，采取一般处置措施无法控制和消除其严重社会危害，需要决定全县进入紧急状态的，依法由县委县政府研究，县政府及时上报市政府，经市委市政府研究，由市政府提请省委省政府决定或者由省委省政府依职权决定。进入紧急状态的决定应当依法立即通过通讯社和广播电台、电视台等新闻媒体公布。</w:t>
      </w:r>
    </w:p>
    <w:p>
      <w:pPr>
        <w:pStyle w:val="3"/>
        <w:bidi w:val="0"/>
        <w:rPr>
          <w:rFonts w:hint="eastAsia"/>
          <w:color w:val="auto"/>
          <w:lang w:val="en-US" w:eastAsia="zh-CN"/>
        </w:rPr>
      </w:pPr>
      <w:bookmarkStart w:id="52" w:name="_bookmark26"/>
      <w:bookmarkEnd w:id="52"/>
      <w:bookmarkStart w:id="53" w:name="_Toc26953"/>
      <w:r>
        <w:rPr>
          <w:rFonts w:hint="eastAsia"/>
          <w:color w:val="auto"/>
          <w:lang w:val="en-US" w:eastAsia="zh-CN"/>
        </w:rPr>
        <w:t>4.5信息发布与舆论引导</w:t>
      </w:r>
      <w:bookmarkEnd w:id="53"/>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按照前述分级应对和响应分级原则负责应对的组织指挥机构要制定统一的信息发布和舆论引导方案，与突发事件应对处置工作同时研究、同时部署、同步行动。对于可能受到突发事件直接威胁的社会公众，应及时发布预警信息。</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发生特别重大、重大和较大突发事件后，履行统一领导职责的政府或组织指挥机构要在事件发生后的第一时间通过权威媒体向社会发布简要信息，最迟要在5小时内发布权威信息，随后发布初步核实情况、政府应对措施和公众防范措施等，最迟应在24小时内举行新闻发布会，根据突发事件处置情况做好后续发布工作。发生较大、一般突发事件后，要及时发布权威信息，根据处置进展动态发布信息。法律、行政法规和国家另有规定的，从其规定。</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（2）信息发布由履行统一领导职责的政府或组织指挥机构负责。必要时，按照县政府或县专项应急指挥机构要求，县有关部门统筹协调。</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（3）信息发布形式主要包括提供新闻通稿、举行新闻发布会、接受新闻媒体采访、组织专家解读，以及运用官方网站、微博、微信、移动客户端、手机短信等官方信息平台发布信息，具体按照有关规定执行。</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（4）履行统一领导职责的政府或设立的组织指挥机构加强网络媒体和移动新媒体信息发布内容管理和舆情分析，及时回应社会关切，迅速澄清谣言，引导网民依法、理性表达意见，形成积极健康的社会舆论。</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5）未经履行统一领导职责的政府或设立的组织指挥机构批准，参与突发事件应急处置工作的各有关单位和个人不得擅自对外发布事件原因、伤亡数字、责任追究等突发事件处置工作情况和事态发展信息。任何单位和个人不得编造、传播有关突发事件事态发展或者应急处置工作的虚假信息。</w:t>
      </w:r>
    </w:p>
    <w:p>
      <w:pPr>
        <w:pStyle w:val="3"/>
        <w:bidi w:val="0"/>
        <w:rPr>
          <w:rFonts w:hint="eastAsia"/>
          <w:color w:val="auto"/>
          <w:lang w:val="en-US" w:eastAsia="zh-CN"/>
        </w:rPr>
      </w:pPr>
      <w:bookmarkStart w:id="54" w:name="_bookmark27"/>
      <w:bookmarkEnd w:id="54"/>
      <w:bookmarkStart w:id="55" w:name="_Toc4463"/>
      <w:r>
        <w:rPr>
          <w:rFonts w:hint="eastAsia"/>
          <w:color w:val="auto"/>
          <w:lang w:val="en-US" w:eastAsia="zh-CN"/>
        </w:rPr>
        <w:t>4.6应急结束</w:t>
      </w:r>
      <w:bookmarkEnd w:id="55"/>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突发事件应急处置工作结束，或有关威胁和危害得到控制、消除后，履行统一领导职责的政府或应急指挥机构可宣布应急结束，或逐步停止有关应急处置措施，应急救援队伍和工作人员有序撤离。同时，采取或者继续实施必要措施，防止发生自然灾害、事故灾难、公共卫生事件的次生、衍生事件或者重新引发社会安全事件。现场指挥机构停止运行后，通知有关方面解除应急措施，进入过渡时期，逐步恢复生产生活秩序。</w:t>
      </w:r>
    </w:p>
    <w:p>
      <w:pPr>
        <w:pStyle w:val="2"/>
        <w:bidi w:val="0"/>
        <w:rPr>
          <w:rFonts w:hint="eastAsia"/>
          <w:b w:val="0"/>
          <w:bCs w:val="0"/>
          <w:lang w:val="en-US" w:eastAsia="zh-CN"/>
        </w:rPr>
      </w:pPr>
      <w:bookmarkStart w:id="56" w:name="_Toc12877"/>
      <w:r>
        <w:rPr>
          <w:rFonts w:hint="eastAsia"/>
          <w:b w:val="0"/>
          <w:bCs w:val="0"/>
          <w:lang w:val="en-US" w:eastAsia="zh-CN"/>
        </w:rPr>
        <w:t>5后期处置</w:t>
      </w:r>
      <w:bookmarkEnd w:id="56"/>
    </w:p>
    <w:p>
      <w:pPr>
        <w:pStyle w:val="3"/>
        <w:bidi w:val="0"/>
        <w:rPr>
          <w:rFonts w:hint="eastAsia"/>
          <w:color w:val="auto"/>
          <w:lang w:val="en-US" w:eastAsia="zh-CN"/>
        </w:rPr>
      </w:pPr>
      <w:bookmarkStart w:id="57" w:name="_bookmark28"/>
      <w:bookmarkEnd w:id="57"/>
      <w:bookmarkStart w:id="58" w:name="_bookmark29"/>
      <w:bookmarkEnd w:id="58"/>
      <w:bookmarkStart w:id="59" w:name="_Toc28721"/>
      <w:r>
        <w:rPr>
          <w:rFonts w:hint="eastAsia"/>
          <w:color w:val="auto"/>
          <w:lang w:val="en-US" w:eastAsia="zh-CN"/>
        </w:rPr>
        <w:t>5.1善后处置</w:t>
      </w:r>
      <w:bookmarkEnd w:id="59"/>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受突发事件影响地区的政府应当根据本地区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有关部门要做好疾病防治和环境污染消除工作。</w:t>
      </w:r>
    </w:p>
    <w:p>
      <w:pPr>
        <w:pStyle w:val="3"/>
        <w:bidi w:val="0"/>
        <w:rPr>
          <w:rFonts w:hint="eastAsia"/>
          <w:color w:val="auto"/>
          <w:lang w:val="en-US" w:eastAsia="zh-CN"/>
        </w:rPr>
      </w:pPr>
      <w:bookmarkStart w:id="60" w:name="_bookmark30"/>
      <w:bookmarkEnd w:id="60"/>
      <w:bookmarkStart w:id="61" w:name="_Toc20409"/>
      <w:r>
        <w:rPr>
          <w:rFonts w:hint="eastAsia"/>
          <w:color w:val="auto"/>
          <w:lang w:val="en-US" w:eastAsia="zh-CN"/>
        </w:rPr>
        <w:t>5.2恢复重建</w:t>
      </w:r>
      <w:bookmarkEnd w:id="61"/>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恢复重建工作在县指挥部领导下，以事发地为主灾区群众广泛参与，加大资金、政策、规划统筹，促进资源融合、效能提升。强化事发地重建主体责任，建立务实高效的规划落实推进体系。尊重群众首创精神，引导开展自力更生、生产自救活动。</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恢复重建工作由事发地县政府负责。突发事件应急处置工作结束后，有关县政府要立即组织制定恢复重建计划，并向上一级政府报告。受突发事件影响乡镇政府要及时组织发展改革、财政、公安、交通运输、工业和信息化、住房和城乡建设、卫生健康、水利、生态环境、铁路等部门（单位）恢复社会秩序，尽快修复损毁或损坏的公共设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超出事发乡镇政府恢复重建能力的，县政府根据事发乡镇政府的请求和实际情况，提供必要的资金、物资和政策支持。超出本县恢复重建能力，需要申请国家援助和支持的，由市政府按程序向省政府提出请求。</w:t>
      </w:r>
    </w:p>
    <w:p>
      <w:pPr>
        <w:pStyle w:val="3"/>
        <w:bidi w:val="0"/>
        <w:rPr>
          <w:rFonts w:hint="eastAsia"/>
          <w:color w:val="auto"/>
          <w:lang w:val="en-US" w:eastAsia="zh-CN"/>
        </w:rPr>
      </w:pPr>
      <w:bookmarkStart w:id="62" w:name="_bookmark31"/>
      <w:bookmarkEnd w:id="62"/>
      <w:bookmarkStart w:id="63" w:name="_Toc13688"/>
      <w:r>
        <w:rPr>
          <w:rFonts w:hint="eastAsia"/>
          <w:color w:val="auto"/>
          <w:lang w:val="en-US" w:eastAsia="zh-CN"/>
        </w:rPr>
        <w:t>5.3调查与评估</w:t>
      </w:r>
      <w:bookmarkEnd w:id="63"/>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县政府组织有关部门，对突发事件的发生原因、影响范围、受灾程度和损失情况、应对过程进行全面客观的调查、分析，总结经验教训，制定改进措施，形成调查评估报告并提交上一级党委、政府。一般突发事件的调查评估工作由事发乡镇政府组织调查。较大突发事件的调查评估工作由县 政府组织开展。重大突发事件的调查评估工作由省政府或者省政府授权的有关部门组织调查评估。特别重大突发事件的调查评估工作，按照国家有关规定执行。法律、法规对突发事件调查另有规定的，从其规定。</w:t>
      </w:r>
    </w:p>
    <w:p>
      <w:pPr>
        <w:pStyle w:val="2"/>
        <w:bidi w:val="0"/>
        <w:rPr>
          <w:rFonts w:hint="eastAsia"/>
          <w:b w:val="0"/>
          <w:bCs w:val="0"/>
          <w:lang w:val="en-US" w:eastAsia="zh-CN"/>
        </w:rPr>
      </w:pPr>
      <w:bookmarkStart w:id="64" w:name="_Toc18279"/>
      <w:r>
        <w:rPr>
          <w:rFonts w:hint="eastAsia"/>
          <w:b w:val="0"/>
          <w:bCs w:val="0"/>
          <w:lang w:val="en-US" w:eastAsia="zh-CN"/>
        </w:rPr>
        <w:t>6支持与保障</w:t>
      </w:r>
      <w:bookmarkEnd w:id="64"/>
      <w:bookmarkStart w:id="65" w:name="_bookmark33"/>
      <w:bookmarkEnd w:id="65"/>
      <w:bookmarkStart w:id="66" w:name="_bookmark32"/>
      <w:bookmarkEnd w:id="66"/>
      <w:bookmarkStart w:id="67" w:name="_Toc6018"/>
    </w:p>
    <w:p>
      <w:pPr>
        <w:pStyle w:val="3"/>
        <w:bidi w:val="0"/>
        <w:rPr>
          <w:rFonts w:hint="eastAsia"/>
          <w:lang w:val="en-US" w:eastAsia="zh-CN"/>
        </w:rPr>
      </w:pPr>
      <w:r>
        <w:rPr>
          <w:rFonts w:hint="eastAsia"/>
          <w:lang w:val="en-US" w:eastAsia="zh-CN"/>
        </w:rPr>
        <w:t>6.1人力资源</w:t>
      </w:r>
      <w:bookmarkEnd w:id="67"/>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（1）国家综合性消防救援队伍是应急救援的主力军、国家队。县级政府对国家综合性消防救援队伍的建设和管理，提供必要支持保障。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专业应急救援队伍是应急处置与救援的骨干力量。县级应急管理、网信、工业和信息化、公安、自然资源、生态环境、交通运输、水利、城乡建设、住房、农业农村、文化和旅游、卫生健康、林业、新闻宣传等部门根据职能分工和实际需要，建设和管理本行业、本领域的专业应急队伍。</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武警部队和基干民兵是应急处置与救援的突击力量。县级政府要依法将武警部队和基干民兵应急力量纳入应急力量体系建设，统筹规划，合理布局。建立健全军地协调联动机制，应急管理信息系统实现互联互通。按照执行应急任务能力要求，配备必要的装备，加强有针对性的训练和演练。</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（4）基层应急队伍是第一时间先期处置重要力量。各乡镇、经开区及村（居）民委员会应当单独建立或者与有关单位、社会组织共同建立基层应急队伍。</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（5）社会应急队伍是应急处置与救援的辅助力量。县政府、各乡镇、经开区、各有关部门要制定有关政策措施，充分发挥红十字会和共青团作用，鼓励企事业单位、社会组织及公民个人等有序参与应急工作。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（6）推进应急力量训练资源统建共用、开放共享，构建救援合作机制，创新组织实施模式，搭建信息服务平台，分类推进试点先行，营造良好激励环境。</w:t>
      </w:r>
    </w:p>
    <w:p>
      <w:pPr>
        <w:pStyle w:val="3"/>
        <w:bidi w:val="0"/>
        <w:rPr>
          <w:rFonts w:hint="eastAsia"/>
          <w:color w:val="auto"/>
          <w:lang w:val="en-US" w:eastAsia="zh-CN"/>
        </w:rPr>
      </w:pPr>
      <w:bookmarkStart w:id="68" w:name="_bookmark34"/>
      <w:bookmarkEnd w:id="68"/>
      <w:bookmarkStart w:id="69" w:name="_Toc26407"/>
      <w:r>
        <w:rPr>
          <w:rFonts w:hint="eastAsia"/>
          <w:color w:val="auto"/>
          <w:lang w:val="en-US" w:eastAsia="zh-CN"/>
        </w:rPr>
        <w:t>6.2财力支持</w:t>
      </w:r>
      <w:bookmarkEnd w:id="69"/>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kern w:val="0"/>
          <w:sz w:val="32"/>
          <w:szCs w:val="28"/>
          <w:lang w:val="en-US" w:eastAsia="zh-CN"/>
        </w:rPr>
      </w:pPr>
      <w:r>
        <w:rPr>
          <w:rFonts w:hint="eastAsia" w:ascii="仿宋_GB2312" w:hAnsi="仿宋_GB2312" w:eastAsia="仿宋_GB2312" w:cs="仿宋_GB2312"/>
          <w:snapToGrid w:val="0"/>
          <w:color w:val="000000"/>
          <w:kern w:val="0"/>
          <w:sz w:val="32"/>
          <w:szCs w:val="28"/>
          <w:lang w:val="en-US" w:eastAsia="zh-CN"/>
        </w:rPr>
        <w:t>（1）县</w:t>
      </w:r>
      <w:r>
        <w:rPr>
          <w:rFonts w:hint="eastAsia" w:ascii="仿宋_GB2312" w:hAnsi="仿宋_GB2312" w:eastAsia="仿宋_GB2312" w:cs="仿宋_GB2312"/>
          <w:snapToGrid w:val="0"/>
          <w:color w:val="000000"/>
          <w:kern w:val="0"/>
          <w:sz w:val="32"/>
          <w:szCs w:val="28"/>
        </w:rPr>
        <w:t>政府要保障突发事件应对工作所需经费。处置突发事件所需由财政负担的经费，按照财政事权与支出责任划分原则分级负担。突发事件应急准备、应急演练和救援救 灾工作资金由</w:t>
      </w:r>
      <w:r>
        <w:rPr>
          <w:rFonts w:hint="eastAsia" w:ascii="仿宋_GB2312" w:hAnsi="仿宋_GB2312" w:eastAsia="仿宋_GB2312" w:cs="仿宋_GB2312"/>
          <w:snapToGrid w:val="0"/>
          <w:color w:val="000000"/>
          <w:kern w:val="0"/>
          <w:sz w:val="32"/>
          <w:szCs w:val="28"/>
          <w:lang w:val="en-US" w:eastAsia="zh-CN"/>
        </w:rPr>
        <w:t>县、乡镇</w:t>
      </w:r>
      <w:r>
        <w:rPr>
          <w:rFonts w:hint="eastAsia" w:ascii="仿宋_GB2312" w:hAnsi="仿宋_GB2312" w:eastAsia="仿宋_GB2312" w:cs="仿宋_GB2312"/>
          <w:snapToGrid w:val="0"/>
          <w:color w:val="000000"/>
          <w:kern w:val="0"/>
          <w:sz w:val="32"/>
          <w:szCs w:val="28"/>
        </w:rPr>
        <w:t>政府有关部门提出，经财政部门审核后，按规定程序列入本级政府年度财政预算。</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000000"/>
          <w:kern w:val="0"/>
          <w:sz w:val="32"/>
          <w:szCs w:val="28"/>
          <w:lang w:val="en-US" w:eastAsia="zh-CN"/>
        </w:rPr>
      </w:pPr>
      <w:r>
        <w:rPr>
          <w:rFonts w:hint="eastAsia" w:ascii="仿宋_GB2312" w:hAnsi="仿宋_GB2312" w:eastAsia="仿宋_GB2312" w:cs="仿宋_GB2312"/>
          <w:snapToGrid w:val="0"/>
          <w:color w:val="000000"/>
          <w:kern w:val="0"/>
          <w:sz w:val="32"/>
          <w:szCs w:val="28"/>
          <w:lang w:val="en-US" w:eastAsia="zh-CN"/>
        </w:rPr>
        <w:t>（2）县</w:t>
      </w:r>
      <w:r>
        <w:rPr>
          <w:rFonts w:hint="eastAsia" w:ascii="仿宋_GB2312" w:hAnsi="仿宋_GB2312" w:eastAsia="仿宋_GB2312" w:cs="仿宋_GB2312"/>
          <w:snapToGrid w:val="0"/>
          <w:color w:val="000000"/>
          <w:kern w:val="0"/>
          <w:sz w:val="32"/>
          <w:szCs w:val="28"/>
        </w:rPr>
        <w:t>政府有关部门研究提出相应的征用补偿或救助政策，报</w:t>
      </w:r>
      <w:r>
        <w:rPr>
          <w:rFonts w:hint="eastAsia" w:ascii="仿宋_GB2312" w:hAnsi="仿宋_GB2312" w:eastAsia="仿宋_GB2312" w:cs="仿宋_GB2312"/>
          <w:snapToGrid w:val="0"/>
          <w:color w:val="000000"/>
          <w:kern w:val="0"/>
          <w:sz w:val="32"/>
          <w:szCs w:val="28"/>
          <w:lang w:val="en-US" w:eastAsia="zh-CN"/>
        </w:rPr>
        <w:t>县</w:t>
      </w:r>
      <w:r>
        <w:rPr>
          <w:rFonts w:hint="eastAsia" w:ascii="仿宋_GB2312" w:hAnsi="仿宋_GB2312" w:eastAsia="仿宋_GB2312" w:cs="仿宋_GB2312"/>
          <w:snapToGrid w:val="0"/>
          <w:color w:val="000000"/>
          <w:kern w:val="0"/>
          <w:sz w:val="32"/>
          <w:szCs w:val="28"/>
        </w:rPr>
        <w:t>政府审批。县财政和审计部门要依法依规对突发事件财政应急保障资金的使用及效果进行监督和评估</w:t>
      </w:r>
      <w:r>
        <w:rPr>
          <w:rFonts w:hint="eastAsia" w:ascii="仿宋_GB2312" w:hAnsi="仿宋_GB2312" w:eastAsia="仿宋_GB2312" w:cs="仿宋_GB2312"/>
          <w:snapToGrid w:val="0"/>
          <w:color w:val="000000"/>
          <w:kern w:val="0"/>
          <w:sz w:val="32"/>
          <w:szCs w:val="28"/>
          <w:lang w:val="en-US" w:eastAsia="zh-CN"/>
        </w:rPr>
        <w:t>。</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（3）鼓励公民、法人或其他组织（包括国际组织）按照《中华人民共和国慈善法》《中华人民共和国公益事业捐赠法》等有关法律规定，为应对突发事件提供物资、装备、资金、技术支持和捐赠。</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建立健全灾害风险保险体系，鼓励单位和公民参加保险。加快推进巨灾保险制度，推行安全生产、环境污染和食品安全责任保险，县政府及其有关部门、有关单位安排应急救援人员参与可能发生人身危险的抢险救援行动前，应当为其购买相应的保险。</w:t>
      </w:r>
    </w:p>
    <w:p>
      <w:pPr>
        <w:pStyle w:val="3"/>
        <w:bidi w:val="0"/>
        <w:rPr>
          <w:rFonts w:hint="eastAsia"/>
          <w:color w:val="auto"/>
          <w:lang w:val="en-US" w:eastAsia="zh-CN"/>
        </w:rPr>
      </w:pPr>
      <w:bookmarkStart w:id="70" w:name="_bookmark35"/>
      <w:bookmarkEnd w:id="70"/>
      <w:bookmarkStart w:id="71" w:name="_Toc840"/>
      <w:r>
        <w:rPr>
          <w:rFonts w:hint="eastAsia"/>
          <w:color w:val="auto"/>
          <w:lang w:val="en-US" w:eastAsia="zh-CN"/>
        </w:rPr>
        <w:t>6.3物资装备</w:t>
      </w:r>
      <w:bookmarkEnd w:id="71"/>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县应急管理局会同县财政局、卫生健康局、工业和信息化局、商务局、公安局、武装部、交通运输局等部门制定应急物资储备和应急救援装备规划并组织实施。按照集中管理、统一调拨、平时服务、灾时应急、采储结合、节约高效的原则，以及突发事件风险评估和应急物资峰值需求预测，统筹实物储备、生产能力储备、社会资源储备，完善储备品类、规模、结构、方式以及调用和补偿办法；加强对物资储备的监督管理，及时予以补充和更新。建立健全抚松县重要应急物资监测网络、预警体系和应急物资生产、采购、储备、调拨及紧急配送体系，对应急救援物资实行集中管理、统一调拨、统一配送，确保应急物资及时供应。</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（2）县政府应根据有关法律法规和应急预案的规定，做好物资装备储备工作，或与有关企业签订协议，保障应急救援物资、生活必需品和应急处置装备的生产、供给。</w:t>
      </w:r>
    </w:p>
    <w:p>
      <w:pPr>
        <w:pStyle w:val="3"/>
        <w:bidi w:val="0"/>
        <w:rPr>
          <w:rFonts w:hint="eastAsia"/>
          <w:color w:val="auto"/>
          <w:lang w:val="en-US" w:eastAsia="zh-CN"/>
        </w:rPr>
      </w:pPr>
      <w:bookmarkStart w:id="72" w:name="_bookmark36"/>
      <w:bookmarkEnd w:id="72"/>
      <w:bookmarkStart w:id="73" w:name="_Toc27883"/>
      <w:r>
        <w:rPr>
          <w:rFonts w:hint="eastAsia"/>
          <w:color w:val="auto"/>
          <w:lang w:val="en-US" w:eastAsia="zh-CN"/>
        </w:rPr>
        <w:t>6.4科技支撑</w:t>
      </w:r>
      <w:bookmarkEnd w:id="73"/>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县级政府及相关部门要充分利用现有政府系统办公业务资源和专业系统资源，建立健全应急指挥场所、基础支撑系统和综合应用系统，规范技术标准，配置移动指挥系统，完善应急指挥平台，优化突发事件监测监控、预测预警、应急值守、信息报告汇总与发布、视频会商、综合研判、辅助决策、指挥协调、资源调用和总结评估等功能。鼓励有条件的乡镇建设适用的应急指挥平台，并接入县应急指挥平台体系。</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（2）移动、联通、电信等通信运营企业要依托公共通信网、卫星网、微波等多种传输手段，增强基础电信网络的应急通信能力，协助完善各级、各类指挥调度机构间通信网络，保障通信畅通。</w:t>
      </w:r>
    </w:p>
    <w:p>
      <w:pPr>
        <w:pStyle w:val="2"/>
        <w:bidi w:val="0"/>
        <w:rPr>
          <w:rFonts w:hint="eastAsia"/>
          <w:b w:val="0"/>
          <w:bCs w:val="0"/>
          <w:lang w:val="en-US" w:eastAsia="zh-CN"/>
        </w:rPr>
      </w:pPr>
      <w:bookmarkStart w:id="74" w:name="_Toc6238"/>
      <w:r>
        <w:rPr>
          <w:rFonts w:hint="eastAsia"/>
          <w:b w:val="0"/>
          <w:bCs w:val="0"/>
          <w:lang w:val="en-US" w:eastAsia="zh-CN"/>
        </w:rPr>
        <w:t>7预案管理</w:t>
      </w:r>
      <w:bookmarkEnd w:id="74"/>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应急预案管理遵循统筹推进、分类指导、分级负责、动态管理的原则，主要包括应急预案的规划、编制、审批、发布、备案、演练、评估、修订等工作。</w:t>
      </w:r>
    </w:p>
    <w:p>
      <w:pPr>
        <w:pStyle w:val="3"/>
        <w:bidi w:val="0"/>
        <w:rPr>
          <w:rFonts w:hint="eastAsia"/>
          <w:color w:val="auto"/>
          <w:lang w:val="en-US" w:eastAsia="zh-CN"/>
        </w:rPr>
      </w:pPr>
      <w:bookmarkStart w:id="75" w:name="_bookmark38"/>
      <w:bookmarkEnd w:id="75"/>
      <w:bookmarkStart w:id="76" w:name="_Toc13722"/>
      <w:r>
        <w:rPr>
          <w:rFonts w:hint="eastAsia"/>
          <w:color w:val="auto"/>
          <w:lang w:val="en-US" w:eastAsia="zh-CN"/>
        </w:rPr>
        <w:t>7.1预案规划与编制</w:t>
      </w:r>
      <w:bookmarkEnd w:id="76"/>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县级应急管理部门会同有关部门（单位）针对本行政区域内突发事件历史情况和重大风险隐患，制定本级总体应急预案、专项应急预案和部门应急预案编制修订工作规划，明确编修单位并按程序报本级政府批准后实施。</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（2）应急预案编制工作要在突发事件风险评估、应急资源调查的基础上进行，以确保应急预案的科学性、针对性和可操作性。</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（3）应急预案编制过程中应广泛听取有关部门、单位和专家意见。涉及其他单位职责的，应书面征求有关单位意见，必要时向社会公开征求意见。</w:t>
      </w:r>
    </w:p>
    <w:p>
      <w:pPr>
        <w:pStyle w:val="3"/>
        <w:bidi w:val="0"/>
        <w:rPr>
          <w:rFonts w:hint="eastAsia"/>
          <w:color w:val="auto"/>
          <w:lang w:val="en-US" w:eastAsia="zh-CN"/>
        </w:rPr>
      </w:pPr>
      <w:bookmarkStart w:id="77" w:name="_bookmark39"/>
      <w:bookmarkEnd w:id="77"/>
      <w:bookmarkStart w:id="78" w:name="_Toc13593"/>
      <w:r>
        <w:rPr>
          <w:rFonts w:hint="eastAsia"/>
          <w:color w:val="auto"/>
          <w:lang w:val="en-US" w:eastAsia="zh-CN"/>
        </w:rPr>
        <w:t>7.2预案审批与衔接</w:t>
      </w:r>
      <w:bookmarkEnd w:id="78"/>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各级各类应急预案衔接遵循“下级服从上级，专项、部门服从总体，预案之间不得相互矛盾”的原则。应急管理部门综合协调应急预案衔接工作，承担本级专项应急预案研究办理以及本级部门应急预案和下级总体应急预案备案工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（2）总体应急预案由应急管理部门组织起草，按程序报请本级政府批准并公布实施；总体应急预案由本级政府报上一级政府备案，抄送上一级应急管理部门。</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专项应急预案按职责分工由相应牵头部门负责起草，有两个以上牵头部门的，由有关专项应急指挥机构办公室所在部门负责起草，在起草阶段及时与本级应急管理部门沟通，按程序送请本级应急管理部门协调衔接后，由牵头部门报请本级政府批准，以政府办公室名义印发实施；专项应急预案由牵头部门报上一级相关部门备案，抄送本级应急管理部门。</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部门应急预案由有关部门制定，在起草阶段及时与本级应急管理部门沟通，按程序送请本级应急管理部门协调衔接后，经部门主要负责人批准印发实施，报本级政府备案，抄送上一级相关部门和本级应急管理部门。</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（5）基层组织、企事业单位、社会团体等应急预案要经基层组织或本单位主要负责人签发，并按照有关法律法规要求向有关部门备案。</w:t>
      </w:r>
    </w:p>
    <w:p>
      <w:pPr>
        <w:pStyle w:val="3"/>
        <w:bidi w:val="0"/>
        <w:rPr>
          <w:rFonts w:hint="eastAsia"/>
          <w:color w:val="auto"/>
          <w:lang w:val="en-US" w:eastAsia="zh-CN"/>
        </w:rPr>
      </w:pPr>
      <w:bookmarkStart w:id="79" w:name="_bookmark40"/>
      <w:bookmarkEnd w:id="79"/>
      <w:bookmarkStart w:id="80" w:name="_Toc20279"/>
      <w:r>
        <w:rPr>
          <w:rFonts w:hint="eastAsia"/>
          <w:color w:val="auto"/>
          <w:lang w:val="en-US" w:eastAsia="zh-CN"/>
        </w:rPr>
        <w:t>7.3预案演练</w:t>
      </w:r>
      <w:bookmarkEnd w:id="80"/>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应急预案编制单位应当建立应急演练制度，根据实际情况采取实战演练、桌面演练等方式，组织开展广泛参与、处置联动性强、形式多样、节约高效的应急演练。县级专项应急预案、部门应急预案每3年至少进行一次应急演练。法律行政法规和国家另有规定的，从其规定。如预案发生重大调整，需及时按照新的预案开展演练。应急管理部门负责预案演练的指导、监督、检查。</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（2）专项应急预案牵头部门要主动组织演练，有关部门和单位要积极配合参与。</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（3）县政府及其有关部门要结合本地实际，有计划、有重点地组织有关部门对应急预案进行演练，特别是对涉及领域多、需多方配合的应急预案要开展综合性演练。</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（4）各乡镇、经开区政府要组织开展必要的应急演练。居民（村民）委员会、企事业单位也要结合实际经常开展应急演练。</w:t>
      </w:r>
    </w:p>
    <w:p>
      <w:pPr>
        <w:pStyle w:val="3"/>
        <w:bidi w:val="0"/>
        <w:rPr>
          <w:rFonts w:hint="eastAsia"/>
          <w:color w:val="auto"/>
          <w:lang w:val="en-US" w:eastAsia="zh-CN"/>
        </w:rPr>
      </w:pPr>
      <w:bookmarkStart w:id="81" w:name="_bookmark41"/>
      <w:bookmarkEnd w:id="81"/>
      <w:bookmarkStart w:id="82" w:name="_Toc7293"/>
      <w:r>
        <w:rPr>
          <w:rFonts w:hint="eastAsia"/>
          <w:color w:val="auto"/>
          <w:lang w:val="en-US" w:eastAsia="zh-CN"/>
        </w:rPr>
        <w:t>7.4预案评估与修订</w:t>
      </w:r>
      <w:bookmarkEnd w:id="82"/>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1、应急预案编制单位应当建立定期评估制度，分析评价预案内容的针对性、实用性和可操作性，实现应急预案的动态优化和科学规范管理。</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2、有下列情形之一的，应当及时修订应急预案：</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（1）有关法律、法规、规章、标准、上位预案中的有关规定发生变化的；</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（2）应急指挥机构及其职责发生重大调整的；</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（3）面临的风险发生重大变化的；</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（4）重要应急资源发生重大变化的；</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（5）预案中的其他重要信息发生变化的；</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（6）在突发事件实际应对和应急演练中发现问题需要作出重大调整的；</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（7）应急预案制定单位认为应当修订的其他情况。</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3、各级政府及其部门、企事业单位、社会团体、公民等，可以向有关预案编制单位提出修订建议。</w:t>
      </w:r>
      <w:bookmarkStart w:id="83" w:name="_Toc29051"/>
    </w:p>
    <w:p>
      <w:pPr>
        <w:pStyle w:val="2"/>
        <w:bidi w:val="0"/>
        <w:rPr>
          <w:rFonts w:hint="eastAsia"/>
          <w:b w:val="0"/>
          <w:bCs w:val="0"/>
          <w:lang w:val="en-US" w:eastAsia="zh-CN"/>
        </w:rPr>
      </w:pPr>
      <w:r>
        <w:rPr>
          <w:rFonts w:hint="eastAsia"/>
          <w:b w:val="0"/>
          <w:bCs w:val="0"/>
          <w:lang w:val="en-US" w:eastAsia="zh-CN"/>
        </w:rPr>
        <w:t>8附则</w:t>
      </w:r>
      <w:bookmarkEnd w:id="83"/>
    </w:p>
    <w:p>
      <w:pPr>
        <w:pStyle w:val="3"/>
        <w:bidi w:val="0"/>
        <w:rPr>
          <w:rFonts w:hint="eastAsia"/>
          <w:color w:val="auto"/>
          <w:lang w:val="en-US" w:eastAsia="zh-CN"/>
        </w:rPr>
      </w:pPr>
      <w:bookmarkStart w:id="84" w:name="_bookmark42"/>
      <w:bookmarkEnd w:id="84"/>
      <w:bookmarkStart w:id="85" w:name="_bookmark43"/>
      <w:bookmarkEnd w:id="85"/>
      <w:bookmarkStart w:id="86" w:name="_Toc19713"/>
      <w:r>
        <w:rPr>
          <w:rFonts w:hint="eastAsia"/>
          <w:color w:val="auto"/>
          <w:lang w:val="en-US" w:eastAsia="zh-CN"/>
        </w:rPr>
        <w:t>8.1宣传和培训</w:t>
      </w:r>
      <w:bookmarkEnd w:id="86"/>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加强公益宣传，普及安全知识，培育安全文化。应急管理、新闻宣传、文化和旅游、广播电视、通信管理等部门通过图书、报刊、音像制品和电子出版物、广播、电视、网络、手机等，广泛宣传应急法律法规和预防、避险、自救、互救、减灾等常识，增强公众的忧患意识、社会责任意识、公共安全和风险防范意识，提高全社会的避险能力和自救互救能力。</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完善安全教育体系。学校、幼儿园应当在教育主管部门指导下，把应急知识教育纳入教学内容，对学生进行应急知识教育，培养学生的安全意识和自救互救能力。教育主管部门应当对学校开展应急知识教育进行指导和监督。安全教育培训机构加强安全教育培训力度，切实提高培训效果。</w:t>
      </w:r>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县级政府及其部门要建立健全突发事件应急管理培训制度，纳入干部教育培训计划，针对本地区特点定期开展突发事件应急预案的宣传和教育培训工作。新闻媒体应当无偿开展突发事件预防与应急、自救与互救知识的公益宣传。企事业单位应当定期开展应急管理法律法规、安全管理制度、安全操作规程以及应急知识等方面的教育与培训。</w:t>
      </w:r>
    </w:p>
    <w:p>
      <w:pPr>
        <w:pStyle w:val="3"/>
        <w:bidi w:val="0"/>
        <w:rPr>
          <w:rFonts w:hint="eastAsia"/>
          <w:color w:val="auto"/>
          <w:lang w:val="en-US" w:eastAsia="zh-CN"/>
        </w:rPr>
      </w:pPr>
      <w:bookmarkStart w:id="87" w:name="_bookmark44"/>
      <w:bookmarkEnd w:id="87"/>
      <w:bookmarkStart w:id="88" w:name="_Toc14364"/>
      <w:r>
        <w:rPr>
          <w:rFonts w:hint="eastAsia"/>
          <w:color w:val="auto"/>
          <w:lang w:val="en-US" w:eastAsia="zh-CN"/>
        </w:rPr>
        <w:t>8.2责任与奖惩</w:t>
      </w:r>
      <w:bookmarkEnd w:id="88"/>
    </w:p>
    <w:p>
      <w:pPr>
        <w:kinsoku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（1）根据有关规定，建立健全应急管理工作领导负责制和责任追究制，将突发事件应对工作纳入各级政府及其有关部门绩效考核。</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2）公民按照各级政府要求，参加应急救援工作或者协助维护社会秩序期间，其在本单位的工资待遇和福利不变，可根据有关规定给予补助；对突发事件应急管理工作中作出突出贡献的先进集体和个人，按照国家有关规定给予表彰或奖励。</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（3）对迟报、谎报、瞒报和漏报突发事件重要情况，应急处置不力，或者应急管理工作中有其他失职、渎职行为的，依照有关规定给予处分；构成犯罪的，依法追究刑事责任。</w:t>
      </w:r>
    </w:p>
    <w:p>
      <w:pPr>
        <w:pStyle w:val="3"/>
        <w:keepNext w:val="0"/>
        <w:keepLines w:val="0"/>
        <w:pageBreakBefore w:val="0"/>
        <w:widowControl w:val="0"/>
        <w:kinsoku w:val="0"/>
        <w:wordWrap/>
        <w:overflowPunct/>
        <w:topLinePunct w:val="0"/>
        <w:autoSpaceDE w:val="0"/>
        <w:autoSpaceDN w:val="0"/>
        <w:bidi w:val="0"/>
        <w:adjustRightInd w:val="0"/>
        <w:snapToGrid w:val="0"/>
        <w:spacing w:line="540" w:lineRule="exact"/>
        <w:textAlignment w:val="baseline"/>
        <w:rPr>
          <w:rFonts w:hint="eastAsia"/>
          <w:color w:val="auto"/>
          <w:lang w:val="en-US" w:eastAsia="zh-CN"/>
        </w:rPr>
      </w:pPr>
      <w:bookmarkStart w:id="89" w:name="_bookmark45"/>
      <w:bookmarkEnd w:id="89"/>
      <w:bookmarkStart w:id="90" w:name="_Toc5688"/>
      <w:r>
        <w:rPr>
          <w:rFonts w:hint="eastAsia"/>
          <w:color w:val="auto"/>
          <w:lang w:val="en-US" w:eastAsia="zh-CN"/>
        </w:rPr>
        <w:t>8.3实施与监管</w:t>
      </w:r>
      <w:bookmarkEnd w:id="90"/>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本预案涉及的各级政府及其有关部门（单位）、中省直单位、群众自治组织、企事业单位、社会团体等，要按照本预案的规定履行职责，制定、完善相应的应急预案及其支撑性文件。县应急管理局加强本预案实施的跟踪分析、督促检查、综合协调，并根据需要及时组织评估，向县政府提出修订建议。</w:t>
      </w:r>
    </w:p>
    <w:p>
      <w:pPr>
        <w:pStyle w:val="3"/>
        <w:keepNext w:val="0"/>
        <w:keepLines w:val="0"/>
        <w:pageBreakBefore w:val="0"/>
        <w:widowControl w:val="0"/>
        <w:kinsoku w:val="0"/>
        <w:wordWrap/>
        <w:overflowPunct/>
        <w:topLinePunct w:val="0"/>
        <w:autoSpaceDE w:val="0"/>
        <w:autoSpaceDN w:val="0"/>
        <w:bidi w:val="0"/>
        <w:adjustRightInd w:val="0"/>
        <w:snapToGrid w:val="0"/>
        <w:spacing w:line="540" w:lineRule="exact"/>
        <w:textAlignment w:val="baseline"/>
        <w:rPr>
          <w:rFonts w:hint="eastAsia"/>
          <w:color w:val="auto"/>
          <w:lang w:val="en-US" w:eastAsia="zh-CN"/>
        </w:rPr>
      </w:pPr>
      <w:bookmarkStart w:id="91" w:name="_bookmark46"/>
      <w:bookmarkEnd w:id="91"/>
      <w:bookmarkStart w:id="92" w:name="_Toc5194"/>
      <w:r>
        <w:rPr>
          <w:rFonts w:hint="eastAsia"/>
          <w:color w:val="auto"/>
          <w:lang w:val="en-US" w:eastAsia="zh-CN"/>
        </w:rPr>
        <w:t>8.4预案解释部门</w:t>
      </w:r>
      <w:bookmarkEnd w:id="92"/>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本预案由县应急管理局负责解释。</w:t>
      </w:r>
    </w:p>
    <w:p>
      <w:pPr>
        <w:pStyle w:val="3"/>
        <w:keepNext w:val="0"/>
        <w:keepLines w:val="0"/>
        <w:pageBreakBefore w:val="0"/>
        <w:widowControl w:val="0"/>
        <w:kinsoku w:val="0"/>
        <w:wordWrap/>
        <w:overflowPunct/>
        <w:topLinePunct w:val="0"/>
        <w:autoSpaceDE w:val="0"/>
        <w:autoSpaceDN w:val="0"/>
        <w:bidi w:val="0"/>
        <w:adjustRightInd w:val="0"/>
        <w:snapToGrid w:val="0"/>
        <w:spacing w:line="540" w:lineRule="exact"/>
        <w:textAlignment w:val="baseline"/>
        <w:rPr>
          <w:rFonts w:hint="eastAsia"/>
          <w:color w:val="auto"/>
          <w:lang w:val="en-US" w:eastAsia="zh-CN"/>
        </w:rPr>
      </w:pPr>
      <w:bookmarkStart w:id="93" w:name="_bookmark47"/>
      <w:bookmarkEnd w:id="93"/>
      <w:bookmarkStart w:id="94" w:name="_Toc11473"/>
      <w:r>
        <w:rPr>
          <w:rFonts w:hint="eastAsia"/>
          <w:color w:val="auto"/>
          <w:lang w:val="en-US" w:eastAsia="zh-CN"/>
        </w:rPr>
        <w:t>8.5预案实施时间</w:t>
      </w:r>
      <w:bookmarkEnd w:id="94"/>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r>
        <w:rPr>
          <w:rFonts w:hint="eastAsia" w:ascii="仿宋_GB2312" w:hAnsi="仿宋_GB2312" w:eastAsia="仿宋_GB2312" w:cs="仿宋_GB2312"/>
          <w:snapToGrid w:val="0"/>
          <w:color w:val="auto"/>
          <w:kern w:val="0"/>
          <w:sz w:val="32"/>
          <w:szCs w:val="28"/>
          <w:lang w:val="en-US" w:eastAsia="zh-CN"/>
        </w:rPr>
        <w:t>本预案自发布之日起实施。</w:t>
      </w:r>
      <w:bookmarkStart w:id="95" w:name="_Toc22324"/>
    </w:p>
    <w:p>
      <w:pPr>
        <w:pStyle w:val="2"/>
        <w:keepNext w:val="0"/>
        <w:keepLines w:val="0"/>
        <w:pageBreakBefore w:val="0"/>
        <w:widowControl w:val="0"/>
        <w:kinsoku w:val="0"/>
        <w:wordWrap/>
        <w:overflowPunct/>
        <w:topLinePunct w:val="0"/>
        <w:autoSpaceDE w:val="0"/>
        <w:autoSpaceDN w:val="0"/>
        <w:bidi w:val="0"/>
        <w:adjustRightInd w:val="0"/>
        <w:snapToGrid w:val="0"/>
        <w:spacing w:line="540" w:lineRule="exact"/>
        <w:textAlignment w:val="baseline"/>
        <w:rPr>
          <w:rFonts w:hint="eastAsia"/>
          <w:b w:val="0"/>
          <w:bCs w:val="0"/>
          <w:lang w:val="en-US" w:eastAsia="zh-CN"/>
        </w:rPr>
      </w:pPr>
      <w:r>
        <w:rPr>
          <w:rFonts w:hint="eastAsia"/>
          <w:b w:val="0"/>
          <w:bCs w:val="0"/>
          <w:lang w:val="en-US" w:eastAsia="zh-CN"/>
        </w:rPr>
        <w:t>9附件</w:t>
      </w:r>
      <w:bookmarkEnd w:id="95"/>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napToGrid w:val="0"/>
          <w:color w:val="auto"/>
          <w:kern w:val="0"/>
          <w:sz w:val="32"/>
          <w:szCs w:val="28"/>
          <w:lang w:val="en-US" w:eastAsia="zh-CN"/>
        </w:rPr>
      </w:pPr>
      <w:bookmarkStart w:id="96" w:name="_Toc29554"/>
      <w:bookmarkStart w:id="97" w:name="_Toc7952"/>
      <w:r>
        <w:rPr>
          <w:rFonts w:hint="eastAsia" w:ascii="仿宋_GB2312" w:hAnsi="仿宋_GB2312" w:eastAsia="仿宋_GB2312" w:cs="仿宋_GB2312"/>
          <w:snapToGrid w:val="0"/>
          <w:color w:val="auto"/>
          <w:kern w:val="0"/>
          <w:sz w:val="32"/>
          <w:szCs w:val="28"/>
          <w:lang w:val="en-US" w:eastAsia="zh-CN"/>
        </w:rPr>
        <w:t>县级突发事件专项指挥机构和牵头部门</w:t>
      </w:r>
      <w:bookmarkEnd w:id="96"/>
    </w:p>
    <w:p>
      <w:pPr>
        <w:kinsoku w:val="0"/>
        <w:autoSpaceDE w:val="0"/>
        <w:autoSpaceDN w:val="0"/>
        <w:adjustRightInd w:val="0"/>
        <w:snapToGrid w:val="0"/>
        <w:spacing w:line="360" w:lineRule="auto"/>
        <w:ind w:left="0" w:leftChars="0" w:firstLine="0" w:firstLineChars="0"/>
        <w:jc w:val="both"/>
        <w:textAlignment w:val="baseline"/>
        <w:rPr>
          <w:rFonts w:hint="eastAsia" w:ascii="Times New Roman" w:hAnsi="Times New Roman" w:eastAsia="方正仿宋_GB2312" w:cs="Times New Roman"/>
          <w:b/>
          <w:bCs/>
          <w:snapToGrid w:val="0"/>
          <w:color w:val="auto"/>
          <w:kern w:val="0"/>
          <w:sz w:val="32"/>
          <w:szCs w:val="32"/>
          <w:lang w:val="en-US" w:eastAsia="zh-CN"/>
        </w:rPr>
      </w:pPr>
    </w:p>
    <w:p>
      <w:p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b/>
          <w:bCs/>
          <w:snapToGrid w:val="0"/>
          <w:color w:val="auto"/>
          <w:kern w:val="0"/>
          <w:sz w:val="32"/>
          <w:szCs w:val="32"/>
          <w:lang w:val="en-US" w:eastAsia="zh-CN"/>
        </w:rPr>
      </w:pPr>
    </w:p>
    <w:p>
      <w:p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b/>
          <w:bCs/>
          <w:snapToGrid w:val="0"/>
          <w:color w:val="auto"/>
          <w:kern w:val="0"/>
          <w:sz w:val="32"/>
          <w:szCs w:val="32"/>
          <w:lang w:val="en-US" w:eastAsia="zh-CN"/>
        </w:rPr>
      </w:pPr>
    </w:p>
    <w:p>
      <w:p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b/>
          <w:bCs/>
          <w:snapToGrid w:val="0"/>
          <w:color w:val="auto"/>
          <w:kern w:val="0"/>
          <w:sz w:val="32"/>
          <w:szCs w:val="32"/>
          <w:lang w:val="en-US" w:eastAsia="zh-CN"/>
        </w:rPr>
      </w:pPr>
    </w:p>
    <w:p>
      <w:p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b/>
          <w:bCs/>
          <w:snapToGrid w:val="0"/>
          <w:color w:val="auto"/>
          <w:kern w:val="0"/>
          <w:sz w:val="32"/>
          <w:szCs w:val="32"/>
          <w:lang w:val="en-US" w:eastAsia="zh-CN"/>
        </w:rPr>
      </w:pPr>
    </w:p>
    <w:p>
      <w:p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b/>
          <w:bCs/>
          <w:snapToGrid w:val="0"/>
          <w:color w:val="auto"/>
          <w:kern w:val="0"/>
          <w:sz w:val="32"/>
          <w:szCs w:val="32"/>
          <w:lang w:val="en-US" w:eastAsia="zh-CN"/>
        </w:rPr>
      </w:pPr>
    </w:p>
    <w:p>
      <w:p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b/>
          <w:bCs/>
          <w:snapToGrid w:val="0"/>
          <w:color w:val="auto"/>
          <w:kern w:val="0"/>
          <w:sz w:val="32"/>
          <w:szCs w:val="32"/>
          <w:lang w:val="en-US" w:eastAsia="zh-CN"/>
        </w:rPr>
      </w:pPr>
    </w:p>
    <w:p>
      <w:p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b/>
          <w:bCs/>
          <w:snapToGrid w:val="0"/>
          <w:color w:val="auto"/>
          <w:kern w:val="0"/>
          <w:sz w:val="32"/>
          <w:szCs w:val="32"/>
          <w:lang w:val="en-US" w:eastAsia="zh-CN"/>
        </w:rPr>
      </w:pPr>
    </w:p>
    <w:p>
      <w:p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b/>
          <w:bCs/>
          <w:snapToGrid w:val="0"/>
          <w:color w:val="auto"/>
          <w:kern w:val="0"/>
          <w:sz w:val="32"/>
          <w:szCs w:val="32"/>
          <w:lang w:val="en-US" w:eastAsia="zh-CN"/>
        </w:rPr>
      </w:pPr>
    </w:p>
    <w:p>
      <w:pPr>
        <w:kinsoku w:val="0"/>
        <w:autoSpaceDE w:val="0"/>
        <w:autoSpaceDN w:val="0"/>
        <w:adjustRightInd w:val="0"/>
        <w:snapToGrid w:val="0"/>
        <w:spacing w:line="360" w:lineRule="auto"/>
        <w:ind w:left="0" w:leftChars="0" w:firstLine="0" w:firstLineChars="0"/>
        <w:jc w:val="both"/>
        <w:textAlignment w:val="baseline"/>
        <w:rPr>
          <w:rFonts w:hint="eastAsia" w:ascii="宋体" w:hAnsi="宋体" w:eastAsia="宋体" w:cs="宋体"/>
          <w:b/>
          <w:bCs/>
          <w:snapToGrid w:val="0"/>
          <w:color w:val="auto"/>
          <w:kern w:val="0"/>
          <w:sz w:val="32"/>
          <w:szCs w:val="32"/>
          <w:lang w:val="en-US" w:eastAsia="zh-CN"/>
        </w:rPr>
      </w:pPr>
      <w:r>
        <w:rPr>
          <w:rFonts w:hint="eastAsia" w:ascii="宋体" w:hAnsi="宋体" w:eastAsia="宋体" w:cs="宋体"/>
          <w:b/>
          <w:bCs/>
          <w:snapToGrid w:val="0"/>
          <w:color w:val="auto"/>
          <w:kern w:val="0"/>
          <w:sz w:val="32"/>
          <w:szCs w:val="32"/>
          <w:lang w:val="en-US" w:eastAsia="zh-CN"/>
        </w:rPr>
        <w:t>附件</w:t>
      </w:r>
    </w:p>
    <w:p>
      <w:pPr>
        <w:kinsoku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bCs/>
          <w:snapToGrid w:val="0"/>
          <w:color w:val="auto"/>
          <w:kern w:val="0"/>
          <w:sz w:val="48"/>
          <w:szCs w:val="48"/>
        </w:rPr>
      </w:pPr>
      <w:r>
        <w:rPr>
          <w:rFonts w:hint="eastAsia" w:ascii="宋体" w:hAnsi="宋体" w:eastAsia="宋体" w:cs="宋体"/>
          <w:b/>
          <w:bCs/>
          <w:snapToGrid w:val="0"/>
          <w:color w:val="auto"/>
          <w:kern w:val="0"/>
          <w:sz w:val="44"/>
          <w:szCs w:val="44"/>
          <w:lang w:val="en-US" w:eastAsia="zh-CN"/>
        </w:rPr>
        <w:t>县级突发事件专项指挥机构和牵头部门</w:t>
      </w:r>
    </w:p>
    <w:p>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t>一、自然灾害类</w:t>
      </w:r>
    </w:p>
    <w:tbl>
      <w:tblPr>
        <w:tblStyle w:val="14"/>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45"/>
        <w:gridCol w:w="2890"/>
        <w:gridCol w:w="3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4"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序号</w:t>
            </w:r>
          </w:p>
        </w:tc>
        <w:tc>
          <w:tcPr>
            <w:tcW w:w="1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事件类别</w:t>
            </w:r>
          </w:p>
        </w:tc>
        <w:tc>
          <w:tcPr>
            <w:tcW w:w="28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主要牵头部门</w:t>
            </w:r>
          </w:p>
        </w:tc>
        <w:tc>
          <w:tcPr>
            <w:tcW w:w="37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1</w:t>
            </w:r>
          </w:p>
        </w:tc>
        <w:tc>
          <w:tcPr>
            <w:tcW w:w="1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水旱灾害</w:t>
            </w:r>
          </w:p>
        </w:tc>
        <w:tc>
          <w:tcPr>
            <w:tcW w:w="28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应急局、</w:t>
            </w:r>
            <w:r>
              <w:rPr>
                <w:rFonts w:hint="eastAsia" w:ascii="宋体" w:hAnsi="宋体" w:eastAsia="宋体" w:cs="宋体"/>
                <w:snapToGrid w:val="0"/>
                <w:color w:val="auto"/>
                <w:kern w:val="0"/>
                <w:sz w:val="21"/>
                <w:szCs w:val="21"/>
                <w:lang w:val="en-US" w:eastAsia="zh-CN"/>
              </w:rPr>
              <w:t>县水利局</w:t>
            </w:r>
          </w:p>
        </w:tc>
        <w:tc>
          <w:tcPr>
            <w:tcW w:w="37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县防汛抗旱指挥部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2</w:t>
            </w:r>
          </w:p>
        </w:tc>
        <w:tc>
          <w:tcPr>
            <w:tcW w:w="1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气象灾害</w:t>
            </w:r>
          </w:p>
        </w:tc>
        <w:tc>
          <w:tcPr>
            <w:tcW w:w="28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气象局、</w:t>
            </w: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应急局</w:t>
            </w:r>
          </w:p>
        </w:tc>
        <w:tc>
          <w:tcPr>
            <w:tcW w:w="37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县气象灾害监测预警指挥部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w:t>
            </w:r>
          </w:p>
        </w:tc>
        <w:tc>
          <w:tcPr>
            <w:tcW w:w="1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地震灾害</w:t>
            </w:r>
          </w:p>
        </w:tc>
        <w:tc>
          <w:tcPr>
            <w:tcW w:w="28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应急局</w:t>
            </w:r>
          </w:p>
        </w:tc>
        <w:tc>
          <w:tcPr>
            <w:tcW w:w="37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县防震抗震减灾工作领导小组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4</w:t>
            </w:r>
          </w:p>
        </w:tc>
        <w:tc>
          <w:tcPr>
            <w:tcW w:w="1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地质灾害</w:t>
            </w:r>
          </w:p>
        </w:tc>
        <w:tc>
          <w:tcPr>
            <w:tcW w:w="28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应急局、</w:t>
            </w: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自然资源局</w:t>
            </w:r>
          </w:p>
        </w:tc>
        <w:tc>
          <w:tcPr>
            <w:tcW w:w="37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县地质灾害应急指挥部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5</w:t>
            </w:r>
          </w:p>
        </w:tc>
        <w:tc>
          <w:tcPr>
            <w:tcW w:w="164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森林草原火灾</w:t>
            </w:r>
          </w:p>
        </w:tc>
        <w:tc>
          <w:tcPr>
            <w:tcW w:w="28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应急局、</w:t>
            </w: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林业局</w:t>
            </w:r>
          </w:p>
        </w:tc>
        <w:tc>
          <w:tcPr>
            <w:tcW w:w="37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县森林草原防灭火指挥部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04"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6</w:t>
            </w:r>
          </w:p>
        </w:tc>
        <w:tc>
          <w:tcPr>
            <w:tcW w:w="1645"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生物灾害</w:t>
            </w:r>
          </w:p>
        </w:tc>
        <w:tc>
          <w:tcPr>
            <w:tcW w:w="28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农业农村局</w:t>
            </w:r>
          </w:p>
        </w:tc>
        <w:tc>
          <w:tcPr>
            <w:tcW w:w="37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县农业植物有害生物应急防控指挥部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70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tc>
        <w:tc>
          <w:tcPr>
            <w:tcW w:w="1645"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tc>
        <w:tc>
          <w:tcPr>
            <w:tcW w:w="289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林业局</w:t>
            </w:r>
          </w:p>
        </w:tc>
        <w:tc>
          <w:tcPr>
            <w:tcW w:w="372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县森林和草原突发性生物灾害应急处置指挥部</w:t>
            </w:r>
          </w:p>
        </w:tc>
      </w:tr>
    </w:tbl>
    <w:p>
      <w:pPr>
        <w:keepNext w:val="0"/>
        <w:keepLines w:val="0"/>
        <w:pageBreakBefore w:val="0"/>
        <w:widowControl w:val="0"/>
        <w:kinsoku w:val="0"/>
        <w:wordWrap/>
        <w:overflowPunct/>
        <w:topLinePunct w:val="0"/>
        <w:autoSpaceDE w:val="0"/>
        <w:autoSpaceDN w:val="0"/>
        <w:bidi w:val="0"/>
        <w:adjustRightInd w:val="0"/>
        <w:snapToGrid w:val="0"/>
        <w:spacing w:before="157" w:beforeLines="50" w:line="240" w:lineRule="auto"/>
        <w:ind w:left="0" w:leftChars="0" w:firstLine="0" w:firstLineChars="0"/>
        <w:jc w:val="center"/>
        <w:textAlignment w:val="baseline"/>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t>二、事故灾难类</w:t>
      </w:r>
    </w:p>
    <w:tbl>
      <w:tblPr>
        <w:tblStyle w:val="1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534"/>
        <w:gridCol w:w="2674"/>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序号</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事件类别</w:t>
            </w:r>
          </w:p>
        </w:tc>
        <w:tc>
          <w:tcPr>
            <w:tcW w:w="267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主要牵头部门</w:t>
            </w: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1</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煤矿事故</w:t>
            </w:r>
          </w:p>
        </w:tc>
        <w:tc>
          <w:tcPr>
            <w:tcW w:w="2674"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县应急局</w:t>
            </w:r>
          </w:p>
        </w:tc>
        <w:tc>
          <w:tcPr>
            <w:tcW w:w="3064"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县生产安全事故应急指挥部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2</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非煤矿山事故</w:t>
            </w:r>
          </w:p>
        </w:tc>
        <w:tc>
          <w:tcPr>
            <w:tcW w:w="267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tc>
        <w:tc>
          <w:tcPr>
            <w:tcW w:w="306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危险化学品事故</w:t>
            </w:r>
          </w:p>
        </w:tc>
        <w:tc>
          <w:tcPr>
            <w:tcW w:w="267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tc>
        <w:tc>
          <w:tcPr>
            <w:tcW w:w="306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4</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工贸行业事故</w:t>
            </w:r>
          </w:p>
        </w:tc>
        <w:tc>
          <w:tcPr>
            <w:tcW w:w="267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tc>
        <w:tc>
          <w:tcPr>
            <w:tcW w:w="306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5</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火灾事故</w:t>
            </w:r>
          </w:p>
        </w:tc>
        <w:tc>
          <w:tcPr>
            <w:tcW w:w="267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县消防救援大队</w:t>
            </w: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县应对火灾事故应急指挥部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6</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道路交通事故</w:t>
            </w:r>
          </w:p>
        </w:tc>
        <w:tc>
          <w:tcPr>
            <w:tcW w:w="267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公安局</w:t>
            </w: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县交通事故应急指挥部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7</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水上交通事故</w:t>
            </w:r>
          </w:p>
        </w:tc>
        <w:tc>
          <w:tcPr>
            <w:tcW w:w="267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交通运输局</w:t>
            </w: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县交通事故应急指挥部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8</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房屋建设和市政工程事故</w:t>
            </w:r>
          </w:p>
        </w:tc>
        <w:tc>
          <w:tcPr>
            <w:tcW w:w="2674"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县</w:t>
            </w:r>
            <w:r>
              <w:rPr>
                <w:rFonts w:hint="eastAsia" w:ascii="宋体" w:hAnsi="宋体" w:eastAsia="宋体" w:cs="宋体"/>
                <w:snapToGrid w:val="0"/>
                <w:color w:val="auto"/>
                <w:kern w:val="0"/>
                <w:sz w:val="21"/>
                <w:szCs w:val="21"/>
                <w:lang w:eastAsia="zh-CN"/>
              </w:rPr>
              <w:t>住建局</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eastAsia="zh-CN"/>
              </w:rPr>
            </w:pPr>
          </w:p>
        </w:tc>
        <w:tc>
          <w:tcPr>
            <w:tcW w:w="3064"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县城乡建设事故应急指挥部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9</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供水突发事件</w:t>
            </w:r>
          </w:p>
        </w:tc>
        <w:tc>
          <w:tcPr>
            <w:tcW w:w="267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06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10</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燃气事故</w:t>
            </w:r>
          </w:p>
        </w:tc>
        <w:tc>
          <w:tcPr>
            <w:tcW w:w="267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06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11</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供热事故</w:t>
            </w:r>
          </w:p>
        </w:tc>
        <w:tc>
          <w:tcPr>
            <w:tcW w:w="267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06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12</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城市道路桥梁事故</w:t>
            </w:r>
          </w:p>
        </w:tc>
        <w:tc>
          <w:tcPr>
            <w:tcW w:w="267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06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13</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大面积停电事件</w:t>
            </w:r>
          </w:p>
        </w:tc>
        <w:tc>
          <w:tcPr>
            <w:tcW w:w="267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县发改局</w:t>
            </w: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县大面积停电事件应急指挥部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14</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通信网络事故</w:t>
            </w:r>
          </w:p>
        </w:tc>
        <w:tc>
          <w:tcPr>
            <w:tcW w:w="267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县工信局</w:t>
            </w: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县通信网络事故应急指挥部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15</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特种设备事故</w:t>
            </w:r>
          </w:p>
        </w:tc>
        <w:tc>
          <w:tcPr>
            <w:tcW w:w="267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县市场监督管理局</w:t>
            </w: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县特种设备事故应急指挥部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16</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核事故</w:t>
            </w:r>
          </w:p>
        </w:tc>
        <w:tc>
          <w:tcPr>
            <w:tcW w:w="267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县工信局</w:t>
            </w: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县核事故应急委员会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17</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辐射事故</w:t>
            </w:r>
          </w:p>
        </w:tc>
        <w:tc>
          <w:tcPr>
            <w:tcW w:w="2674"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白山市生态环境局抚松县分局</w:t>
            </w: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县辐射事故应急指挥部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18</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重污染天气事件</w:t>
            </w:r>
          </w:p>
        </w:tc>
        <w:tc>
          <w:tcPr>
            <w:tcW w:w="267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县重污染天气应急指挥部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19</w:t>
            </w:r>
          </w:p>
        </w:tc>
        <w:tc>
          <w:tcPr>
            <w:tcW w:w="253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突发环境事件</w:t>
            </w:r>
          </w:p>
        </w:tc>
        <w:tc>
          <w:tcPr>
            <w:tcW w:w="267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06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县突发环境事件应急指挥部</w:t>
            </w:r>
          </w:p>
        </w:tc>
      </w:tr>
    </w:tbl>
    <w:p>
      <w:pPr>
        <w:keepNext w:val="0"/>
        <w:keepLines w:val="0"/>
        <w:pageBreakBefore w:val="0"/>
        <w:widowControl w:val="0"/>
        <w:kinsoku w:val="0"/>
        <w:wordWrap/>
        <w:overflowPunct/>
        <w:topLinePunct w:val="0"/>
        <w:autoSpaceDE w:val="0"/>
        <w:autoSpaceDN w:val="0"/>
        <w:bidi w:val="0"/>
        <w:adjustRightInd w:val="0"/>
        <w:snapToGrid w:val="0"/>
        <w:spacing w:before="157" w:beforeLines="50" w:line="240" w:lineRule="auto"/>
        <w:ind w:left="0" w:leftChars="0" w:firstLine="0" w:firstLineChars="0"/>
        <w:jc w:val="center"/>
        <w:textAlignment w:val="baseline"/>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t>三、公共卫生事件</w:t>
      </w:r>
    </w:p>
    <w:tbl>
      <w:tblPr>
        <w:tblStyle w:val="14"/>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200"/>
        <w:gridCol w:w="2855"/>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14"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序号</w:t>
            </w:r>
          </w:p>
        </w:tc>
        <w:tc>
          <w:tcPr>
            <w:tcW w:w="22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事件类别</w:t>
            </w:r>
          </w:p>
        </w:tc>
        <w:tc>
          <w:tcPr>
            <w:tcW w:w="28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主要牵头部门</w:t>
            </w:r>
          </w:p>
        </w:tc>
        <w:tc>
          <w:tcPr>
            <w:tcW w:w="32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1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w:t>
            </w:r>
          </w:p>
        </w:tc>
        <w:tc>
          <w:tcPr>
            <w:tcW w:w="22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传染病疫情</w:t>
            </w:r>
          </w:p>
        </w:tc>
        <w:tc>
          <w:tcPr>
            <w:tcW w:w="2855"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县卫生健康局</w:t>
            </w:r>
          </w:p>
        </w:tc>
        <w:tc>
          <w:tcPr>
            <w:tcW w:w="3202"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县公共卫生事件应急指挥部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1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w:t>
            </w:r>
          </w:p>
        </w:tc>
        <w:tc>
          <w:tcPr>
            <w:tcW w:w="22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群体性不明原因疾病</w:t>
            </w:r>
          </w:p>
        </w:tc>
        <w:tc>
          <w:tcPr>
            <w:tcW w:w="2855"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202"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1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w:t>
            </w:r>
          </w:p>
        </w:tc>
        <w:tc>
          <w:tcPr>
            <w:tcW w:w="22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急性中毒事件</w:t>
            </w:r>
          </w:p>
        </w:tc>
        <w:tc>
          <w:tcPr>
            <w:tcW w:w="2855"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202"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1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4</w:t>
            </w:r>
          </w:p>
        </w:tc>
        <w:tc>
          <w:tcPr>
            <w:tcW w:w="22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食品安全事件</w:t>
            </w:r>
          </w:p>
        </w:tc>
        <w:tc>
          <w:tcPr>
            <w:tcW w:w="2855"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县市场监督管理局</w:t>
            </w:r>
          </w:p>
        </w:tc>
        <w:tc>
          <w:tcPr>
            <w:tcW w:w="32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县食品安全事件应急指挥部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1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5</w:t>
            </w:r>
          </w:p>
        </w:tc>
        <w:tc>
          <w:tcPr>
            <w:tcW w:w="22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药品安全事件</w:t>
            </w:r>
          </w:p>
        </w:tc>
        <w:tc>
          <w:tcPr>
            <w:tcW w:w="2855"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2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县药品安全事件应急指挥部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71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6</w:t>
            </w:r>
          </w:p>
        </w:tc>
        <w:tc>
          <w:tcPr>
            <w:tcW w:w="220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疫苗事件</w:t>
            </w:r>
          </w:p>
        </w:tc>
        <w:tc>
          <w:tcPr>
            <w:tcW w:w="285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县市场监督管理局、县卫生健康局</w:t>
            </w:r>
          </w:p>
        </w:tc>
        <w:tc>
          <w:tcPr>
            <w:tcW w:w="32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县疫苗质量安全事件应急指挥部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14"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7</w:t>
            </w:r>
          </w:p>
        </w:tc>
        <w:tc>
          <w:tcPr>
            <w:tcW w:w="2200"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动物疫情</w:t>
            </w:r>
          </w:p>
        </w:tc>
        <w:tc>
          <w:tcPr>
            <w:tcW w:w="2855"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县农业农村局</w:t>
            </w:r>
          </w:p>
        </w:tc>
        <w:tc>
          <w:tcPr>
            <w:tcW w:w="32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县动物疫情应急指挥部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14"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220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2855"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p>
        </w:tc>
        <w:tc>
          <w:tcPr>
            <w:tcW w:w="320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县突发陆生野生动物疫情指挥部</w:t>
            </w:r>
          </w:p>
        </w:tc>
      </w:tr>
    </w:tbl>
    <w:p>
      <w:pPr>
        <w:keepNext w:val="0"/>
        <w:keepLines w:val="0"/>
        <w:pageBreakBefore w:val="0"/>
        <w:widowControl w:val="0"/>
        <w:kinsoku w:val="0"/>
        <w:wordWrap/>
        <w:overflowPunct/>
        <w:topLinePunct w:val="0"/>
        <w:autoSpaceDE w:val="0"/>
        <w:autoSpaceDN w:val="0"/>
        <w:bidi w:val="0"/>
        <w:adjustRightInd w:val="0"/>
        <w:snapToGrid w:val="0"/>
        <w:spacing w:before="157" w:beforeLines="50" w:line="240" w:lineRule="auto"/>
        <w:ind w:left="0" w:leftChars="0" w:firstLine="0" w:firstLineChars="0"/>
        <w:jc w:val="center"/>
        <w:textAlignment w:val="baseline"/>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t>四、社会安全事件</w:t>
      </w:r>
    </w:p>
    <w:tbl>
      <w:tblPr>
        <w:tblStyle w:val="14"/>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287"/>
        <w:gridCol w:w="2971"/>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序号</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事件类别</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牵头部门</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专项指挥机构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恐怖袭击事件</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县公安局</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县反恐怖工作领导小组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刑事案件</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县公安局</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县刑事案件应急指挥部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群体性事件</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县委政法委</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县群体性事件应急指挥部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4</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网络安全事件</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县委宣传部</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县网络安全事件应急指挥部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5</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影响生活必需品市场稳定突发事件</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县商务局</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县市场稳定事件应急指挥部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6</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金融突发事件</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白山银保监分局抚松监管组</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县金融突发事件应急指挥部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7</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涉外突发事件</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县外事办</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县涉外突发事件应急指挥部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8</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民族宗教事件</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县委统战部</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县民族宗教事件应急指挥部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9</w:t>
            </w:r>
          </w:p>
        </w:tc>
        <w:tc>
          <w:tcPr>
            <w:tcW w:w="228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舆情突发事件</w:t>
            </w:r>
          </w:p>
        </w:tc>
        <w:tc>
          <w:tcPr>
            <w:tcW w:w="297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县委宣传部</w:t>
            </w:r>
          </w:p>
        </w:tc>
        <w:tc>
          <w:tcPr>
            <w:tcW w:w="30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县舆情突发事件应急指挥部</w:t>
            </w:r>
          </w:p>
        </w:tc>
      </w:tr>
      <w:bookmarkEnd w:id="97"/>
    </w:tbl>
    <w:p>
      <w:pPr>
        <w:ind w:left="0" w:leftChars="0" w:firstLine="0" w:firstLineChars="0"/>
        <w:rPr>
          <w:rFonts w:hint="default"/>
          <w:lang w:val="en-US" w:eastAsia="zh-CN"/>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4" w:lineRule="auto"/>
      <w:ind w:firstLine="40" w:firstLineChars="200"/>
      <w:textAlignment w:val="baseline"/>
      <w:rPr>
        <w:rFonts w:ascii="Arial" w:hAnsi="Times New Roman" w:eastAsia="方正仿宋_GB2312" w:cs="Times New Roman"/>
        <w:snapToGrid w:val="0"/>
        <w:color w:val="000000"/>
        <w:kern w:val="0"/>
        <w:sz w:val="2"/>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OGZmMjJlNTNiZWQ0ZWZjNmM4ZGRmNGRmYjVmODYifQ=="/>
  </w:docVars>
  <w:rsids>
    <w:rsidRoot w:val="00000000"/>
    <w:rsid w:val="0742759F"/>
    <w:rsid w:val="07542755"/>
    <w:rsid w:val="08076A91"/>
    <w:rsid w:val="098B38B5"/>
    <w:rsid w:val="09A91C05"/>
    <w:rsid w:val="0A0B01B1"/>
    <w:rsid w:val="0AF327A3"/>
    <w:rsid w:val="0BA248A1"/>
    <w:rsid w:val="0D2A2768"/>
    <w:rsid w:val="0DB8329F"/>
    <w:rsid w:val="0DFF4E6D"/>
    <w:rsid w:val="0ED07D6A"/>
    <w:rsid w:val="0EE264E6"/>
    <w:rsid w:val="12BA6899"/>
    <w:rsid w:val="12C63950"/>
    <w:rsid w:val="15915C59"/>
    <w:rsid w:val="16CE59A2"/>
    <w:rsid w:val="184E2E77"/>
    <w:rsid w:val="1B3414A2"/>
    <w:rsid w:val="1B7D0164"/>
    <w:rsid w:val="1C6E0808"/>
    <w:rsid w:val="20C11C06"/>
    <w:rsid w:val="20CB4E25"/>
    <w:rsid w:val="20F65643"/>
    <w:rsid w:val="25E32B20"/>
    <w:rsid w:val="26585BE6"/>
    <w:rsid w:val="27652EA5"/>
    <w:rsid w:val="284D79D8"/>
    <w:rsid w:val="29542AE2"/>
    <w:rsid w:val="2A7B66FF"/>
    <w:rsid w:val="2D3D5EBB"/>
    <w:rsid w:val="2E4D746C"/>
    <w:rsid w:val="2FB739D9"/>
    <w:rsid w:val="309903CD"/>
    <w:rsid w:val="314812BD"/>
    <w:rsid w:val="32EA091E"/>
    <w:rsid w:val="35A3191D"/>
    <w:rsid w:val="39517859"/>
    <w:rsid w:val="3B7A73B5"/>
    <w:rsid w:val="3BC51025"/>
    <w:rsid w:val="3C124D96"/>
    <w:rsid w:val="3C40478C"/>
    <w:rsid w:val="3D922AB9"/>
    <w:rsid w:val="3DC357DF"/>
    <w:rsid w:val="40AC1D95"/>
    <w:rsid w:val="42905EB8"/>
    <w:rsid w:val="42B5026F"/>
    <w:rsid w:val="43C26B21"/>
    <w:rsid w:val="477E3BDC"/>
    <w:rsid w:val="47A36603"/>
    <w:rsid w:val="48987F81"/>
    <w:rsid w:val="48E84620"/>
    <w:rsid w:val="4BF113AC"/>
    <w:rsid w:val="4DB76775"/>
    <w:rsid w:val="50C5297C"/>
    <w:rsid w:val="52C3577B"/>
    <w:rsid w:val="54747339"/>
    <w:rsid w:val="582838D1"/>
    <w:rsid w:val="5B58161A"/>
    <w:rsid w:val="626D57FD"/>
    <w:rsid w:val="62852B82"/>
    <w:rsid w:val="650104DE"/>
    <w:rsid w:val="680574A2"/>
    <w:rsid w:val="68BD45DE"/>
    <w:rsid w:val="6C520776"/>
    <w:rsid w:val="6D1F016C"/>
    <w:rsid w:val="714E3DA7"/>
    <w:rsid w:val="71747B1E"/>
    <w:rsid w:val="72B37754"/>
    <w:rsid w:val="72D34DAA"/>
    <w:rsid w:val="74341FCD"/>
    <w:rsid w:val="75690F67"/>
    <w:rsid w:val="774E70FE"/>
    <w:rsid w:val="7A1E082A"/>
    <w:rsid w:val="7A635AC9"/>
    <w:rsid w:val="7AD72958"/>
    <w:rsid w:val="7B89293B"/>
    <w:rsid w:val="7D060745"/>
    <w:rsid w:val="7D45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autoSpaceDE w:val="0"/>
      <w:autoSpaceDN w:val="0"/>
      <w:adjustRightInd w:val="0"/>
      <w:snapToGrid w:val="0"/>
      <w:spacing w:line="360" w:lineRule="auto"/>
      <w:ind w:firstLine="1000" w:firstLineChars="200"/>
      <w:jc w:val="both"/>
      <w:textAlignment w:val="baseline"/>
    </w:pPr>
    <w:rPr>
      <w:rFonts w:ascii="Times New Roman" w:hAnsi="Times New Roman" w:eastAsia="方正仿宋_GB2312" w:cs="Times New Roman"/>
      <w:snapToGrid w:val="0"/>
      <w:color w:val="000000"/>
      <w:kern w:val="0"/>
      <w:sz w:val="32"/>
      <w:szCs w:val="28"/>
    </w:rPr>
  </w:style>
  <w:style w:type="paragraph" w:styleId="2">
    <w:name w:val="heading 1"/>
    <w:basedOn w:val="1"/>
    <w:next w:val="1"/>
    <w:qFormat/>
    <w:uiPriority w:val="99"/>
    <w:pPr>
      <w:widowControl w:val="0"/>
      <w:spacing w:before="50" w:beforeLines="50" w:after="50" w:afterLines="50"/>
      <w:ind w:firstLine="1000" w:firstLineChars="200"/>
      <w:jc w:val="left"/>
      <w:outlineLvl w:val="0"/>
    </w:pPr>
    <w:rPr>
      <w:rFonts w:ascii="Times New Roman" w:hAnsi="Times New Roman" w:eastAsia="黑体"/>
      <w:b/>
      <w:bCs/>
      <w:szCs w:val="32"/>
    </w:rPr>
  </w:style>
  <w:style w:type="paragraph" w:styleId="3">
    <w:name w:val="heading 2"/>
    <w:basedOn w:val="1"/>
    <w:next w:val="1"/>
    <w:link w:val="19"/>
    <w:unhideWhenUsed/>
    <w:qFormat/>
    <w:uiPriority w:val="0"/>
    <w:pPr>
      <w:keepNext w:val="0"/>
      <w:keepLines w:val="0"/>
      <w:widowControl w:val="0"/>
      <w:spacing w:before="50" w:beforeLines="50" w:after="50" w:afterLines="50" w:line="360" w:lineRule="auto"/>
      <w:ind w:firstLine="1000" w:firstLineChars="200"/>
      <w:jc w:val="left"/>
      <w:outlineLvl w:val="1"/>
    </w:pPr>
    <w:rPr>
      <w:rFonts w:ascii="Times New Roman" w:hAnsi="Times New Roman" w:eastAsia="楷体"/>
      <w:b/>
      <w:bCs/>
      <w:szCs w:val="32"/>
    </w:rPr>
  </w:style>
  <w:style w:type="paragraph" w:styleId="4">
    <w:name w:val="heading 3"/>
    <w:basedOn w:val="1"/>
    <w:next w:val="1"/>
    <w:unhideWhenUsed/>
    <w:qFormat/>
    <w:uiPriority w:val="0"/>
    <w:pPr>
      <w:keepNext w:val="0"/>
      <w:keepLines w:val="0"/>
      <w:widowControl w:val="0"/>
      <w:spacing w:before="50" w:beforeLines="50" w:beforeAutospacing="0" w:after="50" w:afterLines="50" w:afterAutospacing="0" w:line="360" w:lineRule="auto"/>
      <w:ind w:firstLine="1000" w:firstLineChars="200"/>
      <w:jc w:val="left"/>
      <w:outlineLvl w:val="2"/>
    </w:pPr>
    <w:rPr>
      <w:rFonts w:ascii="Times New Roman" w:hAnsi="Times New Roman"/>
      <w:b/>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仿宋_GB2312" w:hAnsi="宋体" w:eastAsia="仿宋"/>
      <w:bCs/>
      <w:sz w:val="32"/>
      <w:szCs w:val="32"/>
    </w:rPr>
  </w:style>
  <w:style w:type="paragraph" w:styleId="6">
    <w:name w:val="Body Text"/>
    <w:basedOn w:val="1"/>
    <w:qFormat/>
    <w:uiPriority w:val="0"/>
    <w:pPr>
      <w:snapToGrid w:val="0"/>
      <w:spacing w:after="120"/>
      <w:jc w:val="center"/>
    </w:pPr>
    <w:rPr>
      <w:rFonts w:ascii="方正小标宋简体" w:eastAsia="方正小标宋简体"/>
      <w:snapToGrid w:val="0"/>
      <w:spacing w:val="10"/>
      <w:kern w:val="24"/>
      <w:sz w:val="30"/>
      <w:szCs w:val="32"/>
    </w:rPr>
  </w:style>
  <w:style w:type="paragraph" w:styleId="7">
    <w:name w:val="Body Text Indent"/>
    <w:basedOn w:val="1"/>
    <w:next w:val="5"/>
    <w:qFormat/>
    <w:uiPriority w:val="0"/>
    <w:pPr>
      <w:spacing w:after="120"/>
      <w:ind w:left="420" w:leftChars="200"/>
    </w:pPr>
  </w:style>
  <w:style w:type="paragraph" w:styleId="8">
    <w:name w:val="toc 3"/>
    <w:basedOn w:val="1"/>
    <w:next w:val="1"/>
    <w:qFormat/>
    <w:uiPriority w:val="0"/>
    <w:pPr>
      <w:ind w:left="840" w:leftChars="400"/>
    </w:pPr>
    <w:rPr>
      <w:rFonts w:ascii="Arial" w:hAnsi="Arial" w:eastAsiaTheme="minorEastAsia"/>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rFonts w:ascii="Arial" w:hAnsi="Arial" w:eastAsiaTheme="minorEastAsia"/>
      <w:sz w:val="24"/>
    </w:rPr>
  </w:style>
  <w:style w:type="paragraph" w:styleId="12">
    <w:name w:val="toc 2"/>
    <w:basedOn w:val="1"/>
    <w:next w:val="1"/>
    <w:qFormat/>
    <w:uiPriority w:val="0"/>
    <w:pPr>
      <w:ind w:left="420" w:leftChars="200"/>
    </w:pPr>
    <w:rPr>
      <w:rFonts w:ascii="Arial" w:hAnsi="Arial" w:eastAsiaTheme="minorEastAsia"/>
      <w:sz w:val="24"/>
    </w:rPr>
  </w:style>
  <w:style w:type="paragraph" w:styleId="13">
    <w:name w:val="Body Text First Indent 2"/>
    <w:basedOn w:val="7"/>
    <w:qFormat/>
    <w:uiPriority w:val="0"/>
    <w:pPr>
      <w:spacing w:after="0"/>
      <w:ind w:firstLine="420" w:firstLineChars="200"/>
    </w:pPr>
    <w:rPr>
      <w:rFonts w:ascii="Calibri" w:hAnsi="Calibri"/>
      <w:bCs/>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unhideWhenUsed/>
    <w:qFormat/>
    <w:uiPriority w:val="99"/>
    <w:pPr>
      <w:widowControl w:val="0"/>
      <w:autoSpaceDE w:val="0"/>
      <w:autoSpaceDN w:val="0"/>
    </w:pPr>
    <w:rPr>
      <w:rFonts w:hint="eastAsia" w:ascii="Times New Roman" w:hAnsi="Times New Roman" w:eastAsia="Times New Roman" w:cs="Times New Roman"/>
      <w:color w:val="000000"/>
      <w:sz w:val="24"/>
      <w:lang w:val="en-US" w:eastAsia="zh-CN" w:bidi="ar-SA"/>
    </w:rPr>
  </w:style>
  <w:style w:type="character" w:customStyle="1" w:styleId="19">
    <w:name w:val="标题 2 Char"/>
    <w:link w:val="3"/>
    <w:qFormat/>
    <w:uiPriority w:val="0"/>
    <w:rPr>
      <w:rFonts w:ascii="Times New Roman" w:hAnsi="Times New Roman" w:eastAsia="楷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18389</Words>
  <Characters>18623</Characters>
  <Lines>0</Lines>
  <Paragraphs>0</Paragraphs>
  <TotalTime>1</TotalTime>
  <ScaleCrop>false</ScaleCrop>
  <LinksUpToDate>false</LinksUpToDate>
  <CharactersWithSpaces>18677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2022-02-16T08:32:00Z</dcterms:created>
  <dc:creator>Administrator</dc:creator>
  <cp:lastModifiedBy>Waveveve~</cp:lastModifiedBy>
  <cp:lastPrinted>2023-11-29T05:30:00Z</cp:lastPrinted>
  <dcterms:modified xsi:type="dcterms:W3CDTF">2023-12-15T01:32:52Z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D3CDBB58F8DD447084AEFCD3E8D00049</vt:lpwstr>
  </property>
</Properties>
</file>