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>危险化学品</w:t>
      </w:r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 xml:space="preserve">领域安全生产标准化三级企业名单 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</w:p>
    <w:p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1.吉林森工露水河林业有限公司路通加油站</w:t>
      </w:r>
    </w:p>
    <w:p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吉林森工露水河林业有限公司四通加油站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QxYjhiZjdjYzY4YzRiZGJlNmZmNmNlMmJmYjEifQ=="/>
  </w:docVars>
  <w:rsids>
    <w:rsidRoot w:val="00E7421B"/>
    <w:rsid w:val="00E7421B"/>
    <w:rsid w:val="020563A1"/>
    <w:rsid w:val="042B5A20"/>
    <w:rsid w:val="14D775C6"/>
    <w:rsid w:val="5C4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aLIEz</cp:lastModifiedBy>
  <cp:lastPrinted>2024-06-04T00:50:36Z</cp:lastPrinted>
  <dcterms:modified xsi:type="dcterms:W3CDTF">2024-06-04T00:50:58Z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27E348C0CB4E4D25A6C933BDE07101CA_13</vt:lpwstr>
  </property>
</Properties>
</file>