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宋体" w:hAnsi="宋体" w:eastAsia="宋体" w:cs="宋体"/>
          <w:b/>
          <w:bCs/>
          <w:color w:val="191919"/>
          <w:sz w:val="44"/>
          <w:szCs w:val="44"/>
        </w:rPr>
      </w:pPr>
      <w:r>
        <w:rPr>
          <w:rFonts w:hint="eastAsia" w:ascii="宋体" w:hAnsi="宋体" w:eastAsia="宋体" w:cs="宋体"/>
          <w:b/>
          <w:bCs/>
          <w:color w:val="191919"/>
          <w:sz w:val="44"/>
          <w:szCs w:val="44"/>
        </w:rPr>
        <w:t>白山市建设项目环境影响评价文件</w:t>
      </w:r>
    </w:p>
    <w:p>
      <w:pPr>
        <w:pStyle w:val="2"/>
        <w:shd w:val="clear" w:color="auto" w:fill="FFFFFF"/>
        <w:spacing w:before="0" w:beforeAutospacing="0" w:after="0" w:afterAutospacing="0"/>
        <w:jc w:val="center"/>
        <w:rPr>
          <w:rFonts w:ascii="仿宋" w:hAnsi="仿宋" w:eastAsia="仿宋" w:cs="Arial"/>
          <w:color w:val="191919"/>
          <w:sz w:val="32"/>
          <w:szCs w:val="32"/>
        </w:rPr>
      </w:pPr>
      <w:r>
        <w:rPr>
          <w:rFonts w:hint="eastAsia" w:ascii="宋体" w:hAnsi="宋体" w:eastAsia="宋体" w:cs="宋体"/>
          <w:b/>
          <w:bCs/>
          <w:color w:val="191919"/>
          <w:sz w:val="44"/>
          <w:szCs w:val="44"/>
        </w:rPr>
        <w:t>告知承诺审批</w:t>
      </w:r>
    </w:p>
    <w:p>
      <w:pPr>
        <w:pStyle w:val="2"/>
        <w:shd w:val="clear" w:color="auto" w:fill="FFFFFF"/>
        <w:spacing w:before="0" w:beforeAutospacing="0" w:after="0" w:afterAutospacing="0"/>
        <w:rPr>
          <w:rFonts w:hint="default" w:ascii="仿宋" w:hAnsi="仿宋" w:eastAsia="仿宋" w:cs="Arial"/>
          <w:color w:val="191919"/>
          <w:sz w:val="32"/>
          <w:szCs w:val="32"/>
          <w:lang w:val="en-US" w:eastAsia="zh-CN"/>
        </w:rPr>
      </w:pPr>
      <w:r>
        <w:rPr>
          <w:rFonts w:hint="eastAsia" w:ascii="仿宋" w:hAnsi="仿宋" w:eastAsia="仿宋" w:cs="Arial"/>
          <w:color w:val="191919"/>
          <w:sz w:val="32"/>
          <w:szCs w:val="32"/>
        </w:rPr>
        <w:t>审批号：</w:t>
      </w:r>
      <w:r>
        <w:rPr>
          <w:rFonts w:hint="eastAsia" w:ascii="仿宋" w:hAnsi="仿宋" w:eastAsia="仿宋" w:cs="Arial"/>
          <w:color w:val="191919"/>
          <w:sz w:val="32"/>
          <w:szCs w:val="32"/>
          <w:lang w:val="en-US" w:eastAsia="zh-CN"/>
        </w:rPr>
        <w:t>抚行审投资</w:t>
      </w:r>
      <w:r>
        <w:rPr>
          <w:rFonts w:hint="eastAsia" w:ascii="仿宋_GB2312" w:hAnsi="仿宋" w:eastAsia="仿宋_GB2312"/>
          <w:sz w:val="32"/>
          <w:szCs w:val="32"/>
        </w:rPr>
        <w:t>［2021］</w:t>
      </w:r>
      <w:r>
        <w:rPr>
          <w:rFonts w:hint="eastAsia" w:ascii="仿宋_GB2312" w:hAnsi="仿宋" w:eastAsia="仿宋_GB2312"/>
          <w:sz w:val="32"/>
          <w:szCs w:val="32"/>
          <w:lang w:val="en-US" w:eastAsia="zh-CN"/>
        </w:rPr>
        <w:t>207</w:t>
      </w:r>
      <w:r>
        <w:rPr>
          <w:rFonts w:hint="eastAsia" w:ascii="仿宋_GB2312" w:hAnsi="仿宋" w:eastAsia="仿宋_GB2312"/>
          <w:sz w:val="32"/>
          <w:szCs w:val="32"/>
        </w:rPr>
        <w:t>号</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79"/>
        <w:gridCol w:w="2359"/>
        <w:gridCol w:w="2108"/>
        <w:gridCol w:w="1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Borders>
              <w:right w:val="single" w:color="auto" w:sz="4" w:space="0"/>
            </w:tcBorders>
          </w:tcPr>
          <w:p>
            <w:pPr>
              <w:pStyle w:val="2"/>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项目名称</w:t>
            </w:r>
          </w:p>
        </w:tc>
        <w:tc>
          <w:tcPr>
            <w:tcW w:w="6443" w:type="dxa"/>
            <w:gridSpan w:val="3"/>
            <w:tcBorders>
              <w:lef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sz w:val="32"/>
                <w:szCs w:val="32"/>
              </w:rPr>
              <w:t>白山恒康生物医药有限公司人参蜂蜜深加工项目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Borders>
              <w:right w:val="single" w:color="auto" w:sz="4" w:space="0"/>
            </w:tcBorders>
          </w:tcPr>
          <w:p>
            <w:pPr>
              <w:pStyle w:val="2"/>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建设地点</w:t>
            </w:r>
          </w:p>
        </w:tc>
        <w:tc>
          <w:tcPr>
            <w:tcW w:w="2359" w:type="dxa"/>
            <w:tcBorders>
              <w:left w:val="single" w:color="auto" w:sz="4" w:space="0"/>
              <w:righ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吉林抚松工业园区锦带路南侧</w:t>
            </w:r>
          </w:p>
        </w:tc>
        <w:tc>
          <w:tcPr>
            <w:tcW w:w="2108" w:type="dxa"/>
            <w:tcBorders>
              <w:left w:val="single" w:color="auto" w:sz="4" w:space="0"/>
              <w:righ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占地（建筑、营业）面积m</w:t>
            </w:r>
            <w:r>
              <w:rPr>
                <w:rFonts w:hint="eastAsia" w:ascii="仿宋" w:hAnsi="仿宋" w:eastAsia="仿宋" w:cs="仿宋"/>
                <w:color w:val="191919"/>
                <w:sz w:val="32"/>
                <w:szCs w:val="32"/>
                <w:vertAlign w:val="superscript"/>
              </w:rPr>
              <w:t>2</w:t>
            </w:r>
          </w:p>
        </w:tc>
        <w:tc>
          <w:tcPr>
            <w:tcW w:w="1976" w:type="dxa"/>
            <w:tcBorders>
              <w:lef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Borders>
              <w:right w:val="single" w:color="auto" w:sz="4" w:space="0"/>
            </w:tcBorders>
          </w:tcPr>
          <w:p>
            <w:pPr>
              <w:pStyle w:val="2"/>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建设单位</w:t>
            </w:r>
          </w:p>
        </w:tc>
        <w:tc>
          <w:tcPr>
            <w:tcW w:w="2359" w:type="dxa"/>
            <w:tcBorders>
              <w:left w:val="single" w:color="auto" w:sz="4" w:space="0"/>
              <w:righ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sz w:val="32"/>
                <w:szCs w:val="32"/>
              </w:rPr>
              <w:t>白山恒康生物医药有限公司</w:t>
            </w:r>
          </w:p>
        </w:tc>
        <w:tc>
          <w:tcPr>
            <w:tcW w:w="2108" w:type="dxa"/>
            <w:tcBorders>
              <w:left w:val="single" w:color="auto" w:sz="4" w:space="0"/>
              <w:righ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法定代表人或者主要负责人</w:t>
            </w:r>
          </w:p>
        </w:tc>
        <w:tc>
          <w:tcPr>
            <w:tcW w:w="1976" w:type="dxa"/>
            <w:tcBorders>
              <w:lef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王凯强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Borders>
              <w:right w:val="single" w:color="auto" w:sz="4" w:space="0"/>
            </w:tcBorders>
          </w:tcPr>
          <w:p>
            <w:pPr>
              <w:pStyle w:val="2"/>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联系人</w:t>
            </w:r>
          </w:p>
        </w:tc>
        <w:tc>
          <w:tcPr>
            <w:tcW w:w="2359" w:type="dxa"/>
            <w:tcBorders>
              <w:left w:val="single" w:color="auto" w:sz="4" w:space="0"/>
              <w:righ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王凯强</w:t>
            </w:r>
          </w:p>
        </w:tc>
        <w:tc>
          <w:tcPr>
            <w:tcW w:w="2108" w:type="dxa"/>
            <w:tcBorders>
              <w:left w:val="single" w:color="auto" w:sz="4" w:space="0"/>
              <w:righ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联系电话</w:t>
            </w:r>
          </w:p>
        </w:tc>
        <w:tc>
          <w:tcPr>
            <w:tcW w:w="1976" w:type="dxa"/>
            <w:tcBorders>
              <w:lef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15843927999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Borders>
              <w:right w:val="single" w:color="auto" w:sz="4" w:space="0"/>
            </w:tcBorders>
          </w:tcPr>
          <w:p>
            <w:pPr>
              <w:pStyle w:val="2"/>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项目投资（万元）</w:t>
            </w:r>
          </w:p>
        </w:tc>
        <w:tc>
          <w:tcPr>
            <w:tcW w:w="2359" w:type="dxa"/>
            <w:tcBorders>
              <w:left w:val="single" w:color="auto" w:sz="4" w:space="0"/>
              <w:righ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3000</w:t>
            </w:r>
          </w:p>
        </w:tc>
        <w:tc>
          <w:tcPr>
            <w:tcW w:w="2108" w:type="dxa"/>
            <w:tcBorders>
              <w:left w:val="single" w:color="auto" w:sz="4" w:space="0"/>
              <w:righ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环保投资（万元）</w:t>
            </w:r>
          </w:p>
        </w:tc>
        <w:tc>
          <w:tcPr>
            <w:tcW w:w="1976" w:type="dxa"/>
            <w:tcBorders>
              <w:lef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Borders>
              <w:right w:val="single" w:color="auto" w:sz="4" w:space="0"/>
            </w:tcBorders>
          </w:tcPr>
          <w:p>
            <w:pPr>
              <w:pStyle w:val="2"/>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拟投入生产运营日期</w:t>
            </w:r>
          </w:p>
        </w:tc>
        <w:tc>
          <w:tcPr>
            <w:tcW w:w="6443" w:type="dxa"/>
            <w:gridSpan w:val="3"/>
            <w:tcBorders>
              <w:left w:val="single" w:color="auto" w:sz="4" w:space="0"/>
            </w:tcBorders>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2022年9月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Borders>
              <w:right w:val="single" w:color="auto" w:sz="4" w:space="0"/>
            </w:tcBorders>
          </w:tcPr>
          <w:p>
            <w:pPr>
              <w:pStyle w:val="2"/>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告知承诺制审批依据</w:t>
            </w:r>
          </w:p>
        </w:tc>
        <w:tc>
          <w:tcPr>
            <w:tcW w:w="6443" w:type="dxa"/>
            <w:gridSpan w:val="3"/>
            <w:tcBorders>
              <w:left w:val="single" w:color="auto" w:sz="4" w:space="0"/>
            </w:tcBorders>
          </w:tcPr>
          <w:p>
            <w:pPr>
              <w:pStyle w:val="2"/>
              <w:spacing w:before="0" w:beforeAutospacing="0" w:after="0" w:afterAutospacing="0"/>
              <w:ind w:firstLine="640" w:firstLineChars="200"/>
              <w:rPr>
                <w:rFonts w:hint="eastAsia" w:ascii="仿宋" w:hAnsi="仿宋" w:eastAsia="仿宋" w:cs="仿宋"/>
                <w:color w:val="191919"/>
                <w:sz w:val="32"/>
                <w:szCs w:val="32"/>
                <w:lang w:eastAsia="zh-CN"/>
              </w:rPr>
            </w:pPr>
            <w:r>
              <w:rPr>
                <w:rFonts w:hint="eastAsia" w:ascii="仿宋" w:hAnsi="仿宋" w:eastAsia="仿宋" w:cs="仿宋"/>
                <w:color w:val="191919"/>
                <w:sz w:val="32"/>
                <w:szCs w:val="32"/>
              </w:rPr>
              <w:t>该项目属于《白山市生态环境局关于实施建设项目环境影响评价文件审批事项告知承诺制试点的通知》适用范围中的</w:t>
            </w:r>
            <w:r>
              <w:rPr>
                <w:rFonts w:hint="eastAsia" w:ascii="仿宋_GB2312" w:hAnsi="仿宋" w:eastAsia="仿宋_GB2312" w:cs="Arial"/>
                <w:color w:val="191919"/>
                <w:sz w:val="32"/>
                <w:szCs w:val="32"/>
              </w:rPr>
              <w:t>其他食品制造行业，应编制环境影响报告表的建设</w:t>
            </w:r>
            <w:r>
              <w:rPr>
                <w:rFonts w:hint="eastAsia" w:ascii="仿宋" w:hAnsi="仿宋" w:eastAsia="仿宋" w:cs="仿宋"/>
                <w:color w:val="191919"/>
                <w:sz w:val="32"/>
                <w:szCs w:val="32"/>
              </w:rPr>
              <w:t>项目</w:t>
            </w:r>
            <w:r>
              <w:rPr>
                <w:rFonts w:hint="eastAsia" w:ascii="仿宋" w:hAnsi="仿宋" w:eastAsia="仿宋" w:cs="仿宋"/>
                <w:color w:val="191919"/>
                <w:sz w:val="32"/>
                <w:szCs w:val="32"/>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Borders>
              <w:right w:val="single" w:color="auto" w:sz="4" w:space="0"/>
            </w:tcBorders>
          </w:tcPr>
          <w:p>
            <w:pPr>
              <w:pStyle w:val="2"/>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建设内容及规模</w:t>
            </w:r>
          </w:p>
        </w:tc>
        <w:tc>
          <w:tcPr>
            <w:tcW w:w="6443" w:type="dxa"/>
            <w:gridSpan w:val="3"/>
            <w:tcBorders>
              <w:left w:val="single" w:color="auto" w:sz="4" w:space="0"/>
            </w:tcBorders>
          </w:tcPr>
          <w:p>
            <w:pPr>
              <w:pStyle w:val="2"/>
              <w:spacing w:before="0" w:beforeAutospacing="0" w:after="0" w:afterAutospacing="0"/>
              <w:ind w:firstLine="640" w:firstLineChars="200"/>
              <w:rPr>
                <w:rFonts w:hint="eastAsia" w:ascii="仿宋" w:hAnsi="仿宋" w:eastAsia="仿宋" w:cs="仿宋"/>
                <w:color w:val="191919"/>
                <w:sz w:val="32"/>
                <w:szCs w:val="32"/>
              </w:rPr>
            </w:pPr>
            <w:r>
              <w:rPr>
                <w:rFonts w:hint="eastAsia" w:ascii="仿宋" w:hAnsi="仿宋" w:eastAsia="仿宋" w:cs="仿宋"/>
                <w:sz w:val="32"/>
                <w:szCs w:val="32"/>
              </w:rPr>
              <w:t>本项目</w:t>
            </w:r>
            <w:r>
              <w:rPr>
                <w:rFonts w:hint="eastAsia" w:ascii="仿宋" w:hAnsi="仿宋" w:eastAsia="仿宋" w:cs="仿宋"/>
                <w:sz w:val="32"/>
                <w:szCs w:val="32"/>
                <w:lang w:val="en-US" w:eastAsia="zh-CN"/>
              </w:rPr>
              <w:t>占地面积为10000m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,建设分为1#生产车间，建筑面积4109.56m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，1层为生产车间、原料库、成品库等，2层为办公室；2#生产车间，建筑面积2890.8m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，包括冷库、净化车间、烘干室等。项目</w:t>
            </w:r>
            <w:r>
              <w:rPr>
                <w:rFonts w:hint="eastAsia" w:ascii="仿宋" w:hAnsi="仿宋" w:eastAsia="仿宋" w:cs="仿宋"/>
                <w:sz w:val="32"/>
                <w:szCs w:val="32"/>
              </w:rPr>
              <w:t>年产人参蜜片148吨，</w:t>
            </w:r>
            <w:bookmarkStart w:id="0" w:name="OLE_LINK3"/>
            <w:r>
              <w:rPr>
                <w:rFonts w:hint="eastAsia" w:ascii="仿宋" w:hAnsi="仿宋" w:eastAsia="仿宋" w:cs="仿宋"/>
                <w:sz w:val="32"/>
                <w:szCs w:val="32"/>
              </w:rPr>
              <w:t>蜜制人参</w:t>
            </w:r>
            <w:bookmarkEnd w:id="0"/>
            <w:r>
              <w:rPr>
                <w:rFonts w:hint="eastAsia" w:ascii="仿宋" w:hAnsi="仿宋" w:eastAsia="仿宋" w:cs="仿宋"/>
                <w:sz w:val="32"/>
                <w:szCs w:val="32"/>
              </w:rPr>
              <w:t>40吨，人参蜜16吨，中药饮片人参片1.5吨 ，人参粉剂0.4吨。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3" w:hRule="atLeast"/>
        </w:trPr>
        <w:tc>
          <w:tcPr>
            <w:tcW w:w="8522" w:type="dxa"/>
            <w:gridSpan w:val="4"/>
          </w:tcPr>
          <w:p>
            <w:pPr>
              <w:pStyle w:val="2"/>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环境文件提出的主要环境污染及生态破坏防治设施和措施描述（主要污染源采用的环保设施（措施）及效率、处理后污染物排放标准和排放总量、排放去向、采用的主要环境风险防治措施）：</w:t>
            </w:r>
          </w:p>
          <w:p>
            <w:pPr>
              <w:pStyle w:val="2"/>
              <w:spacing w:before="0" w:beforeAutospacing="0" w:after="0" w:afterAutospacing="0"/>
              <w:ind w:firstLine="800" w:firstLineChars="250"/>
              <w:rPr>
                <w:rFonts w:hint="eastAsia" w:ascii="仿宋" w:hAnsi="仿宋" w:eastAsia="仿宋" w:cs="仿宋"/>
                <w:color w:val="191919"/>
                <w:sz w:val="32"/>
                <w:szCs w:val="32"/>
              </w:rPr>
            </w:pPr>
            <w:r>
              <w:rPr>
                <w:rFonts w:hint="eastAsia" w:ascii="仿宋" w:hAnsi="仿宋" w:eastAsia="仿宋" w:cs="仿宋"/>
                <w:color w:val="191919"/>
                <w:sz w:val="32"/>
                <w:szCs w:val="32"/>
              </w:rPr>
              <w:t>1.废气</w:t>
            </w:r>
          </w:p>
          <w:p>
            <w:pPr>
              <w:pStyle w:val="2"/>
              <w:spacing w:before="0" w:beforeAutospacing="0" w:after="0" w:afterAutospacing="0"/>
              <w:ind w:firstLine="555"/>
              <w:rPr>
                <w:rFonts w:hint="eastAsia" w:ascii="仿宋" w:hAnsi="仿宋" w:eastAsia="仿宋" w:cs="仿宋"/>
                <w:bCs/>
                <w:color w:val="000000"/>
                <w:sz w:val="32"/>
                <w:szCs w:val="32"/>
              </w:rPr>
            </w:pPr>
            <w:r>
              <w:rPr>
                <w:rFonts w:hint="eastAsia" w:ascii="仿宋" w:hAnsi="仿宋" w:eastAsia="仿宋" w:cs="仿宋"/>
                <w:bCs/>
                <w:spacing w:val="-10"/>
                <w:sz w:val="32"/>
                <w:szCs w:val="32"/>
              </w:rPr>
              <w:t>本项目营运期的原料在粉碎工段产生粉尘，包装过程产生有机废气，采取负压集气罩收集后经15m高排气筒高空排放，根据源强核算可知，粉尘</w:t>
            </w:r>
            <w:r>
              <w:rPr>
                <w:rFonts w:hint="eastAsia" w:ascii="仿宋" w:hAnsi="仿宋" w:eastAsia="仿宋" w:cs="仿宋"/>
                <w:bCs/>
                <w:color w:val="000000"/>
                <w:sz w:val="32"/>
                <w:szCs w:val="32"/>
              </w:rPr>
              <w:t>排放浓度52.56mg/m</w:t>
            </w:r>
            <w:r>
              <w:rPr>
                <w:rFonts w:hint="eastAsia" w:ascii="仿宋" w:hAnsi="仿宋" w:eastAsia="仿宋" w:cs="仿宋"/>
                <w:bCs/>
                <w:color w:val="000000"/>
                <w:sz w:val="32"/>
                <w:szCs w:val="32"/>
                <w:vertAlign w:val="superscript"/>
              </w:rPr>
              <w:t>3</w:t>
            </w:r>
            <w:r>
              <w:rPr>
                <w:rFonts w:hint="eastAsia" w:ascii="仿宋" w:hAnsi="仿宋" w:eastAsia="仿宋" w:cs="仿宋"/>
                <w:bCs/>
                <w:color w:val="000000"/>
                <w:sz w:val="32"/>
                <w:szCs w:val="32"/>
              </w:rPr>
              <w:t>，排放速率0.1577kg/h，排放量0.37848t/a</w:t>
            </w:r>
            <w:r>
              <w:rPr>
                <w:rFonts w:hint="eastAsia" w:ascii="仿宋" w:hAnsi="仿宋" w:eastAsia="仿宋" w:cs="仿宋"/>
                <w:bCs/>
                <w:spacing w:val="-10"/>
                <w:sz w:val="32"/>
                <w:szCs w:val="32"/>
              </w:rPr>
              <w:t>；非甲烷总烃</w:t>
            </w:r>
            <w:r>
              <w:rPr>
                <w:rFonts w:hint="eastAsia" w:ascii="仿宋" w:hAnsi="仿宋" w:eastAsia="仿宋" w:cs="仿宋"/>
                <w:bCs/>
                <w:color w:val="000000"/>
                <w:sz w:val="32"/>
                <w:szCs w:val="32"/>
              </w:rPr>
              <w:t>排放浓度0.023mg/m</w:t>
            </w:r>
            <w:r>
              <w:rPr>
                <w:rFonts w:hint="eastAsia" w:ascii="仿宋" w:hAnsi="仿宋" w:eastAsia="仿宋" w:cs="仿宋"/>
                <w:bCs/>
                <w:color w:val="000000"/>
                <w:sz w:val="32"/>
                <w:szCs w:val="32"/>
                <w:vertAlign w:val="superscript"/>
              </w:rPr>
              <w:t>3</w:t>
            </w:r>
            <w:r>
              <w:rPr>
                <w:rFonts w:hint="eastAsia" w:ascii="仿宋" w:hAnsi="仿宋" w:eastAsia="仿宋" w:cs="仿宋"/>
                <w:bCs/>
                <w:color w:val="000000"/>
                <w:sz w:val="32"/>
                <w:szCs w:val="32"/>
              </w:rPr>
              <w:t>，排放速率6.93×10</w:t>
            </w:r>
            <w:r>
              <w:rPr>
                <w:rFonts w:hint="eastAsia" w:ascii="仿宋" w:hAnsi="仿宋" w:eastAsia="仿宋" w:cs="仿宋"/>
                <w:bCs/>
                <w:color w:val="000000"/>
                <w:sz w:val="32"/>
                <w:szCs w:val="32"/>
                <w:vertAlign w:val="superscript"/>
              </w:rPr>
              <w:t>-5</w:t>
            </w:r>
            <w:r>
              <w:rPr>
                <w:rFonts w:hint="eastAsia" w:ascii="仿宋" w:hAnsi="仿宋" w:eastAsia="仿宋" w:cs="仿宋"/>
                <w:bCs/>
                <w:color w:val="000000"/>
                <w:sz w:val="32"/>
                <w:szCs w:val="32"/>
              </w:rPr>
              <w:t>kg/h，排放量0.00016625t/a；</w:t>
            </w:r>
            <w:r>
              <w:rPr>
                <w:rFonts w:hint="eastAsia" w:ascii="仿宋" w:hAnsi="仿宋" w:eastAsia="仿宋" w:cs="仿宋"/>
                <w:bCs/>
                <w:spacing w:val="-10"/>
                <w:sz w:val="32"/>
                <w:szCs w:val="32"/>
              </w:rPr>
              <w:t>粉尘和非甲烷总烃排放浓度能够满足《大气污染物综合排放标准》（GB16297-1996）表 2 中有组织二级排放标准要求。</w:t>
            </w:r>
          </w:p>
          <w:p>
            <w:pPr>
              <w:pStyle w:val="2"/>
              <w:spacing w:before="0" w:beforeAutospacing="0" w:after="0" w:afterAutospacing="0"/>
              <w:ind w:firstLine="600" w:firstLineChars="200"/>
              <w:rPr>
                <w:rFonts w:hint="eastAsia" w:ascii="仿宋" w:hAnsi="仿宋" w:eastAsia="仿宋" w:cs="仿宋"/>
                <w:bCs/>
                <w:spacing w:val="-10"/>
                <w:sz w:val="32"/>
                <w:szCs w:val="32"/>
              </w:rPr>
            </w:pPr>
            <w:r>
              <w:rPr>
                <w:rFonts w:hint="eastAsia" w:ascii="仿宋" w:hAnsi="仿宋" w:eastAsia="仿宋" w:cs="仿宋"/>
                <w:bCs/>
                <w:spacing w:val="-10"/>
                <w:sz w:val="32"/>
                <w:szCs w:val="32"/>
              </w:rPr>
              <w:t>2.废水</w:t>
            </w:r>
          </w:p>
          <w:p>
            <w:pPr>
              <w:pStyle w:val="2"/>
              <w:spacing w:before="0" w:beforeAutospacing="0" w:after="0" w:afterAutospacing="0"/>
              <w:ind w:firstLine="555"/>
              <w:rPr>
                <w:rFonts w:hint="eastAsia" w:ascii="仿宋" w:hAnsi="仿宋" w:eastAsia="仿宋" w:cs="仿宋"/>
                <w:color w:val="191919"/>
                <w:sz w:val="32"/>
                <w:szCs w:val="32"/>
              </w:rPr>
            </w:pPr>
            <w:r>
              <w:rPr>
                <w:rFonts w:hint="eastAsia" w:ascii="仿宋" w:hAnsi="仿宋" w:eastAsia="仿宋" w:cs="仿宋"/>
                <w:bCs/>
                <w:spacing w:val="-10"/>
                <w:sz w:val="32"/>
                <w:szCs w:val="32"/>
              </w:rPr>
              <w:t>本项目废水主要为</w:t>
            </w:r>
            <w:r>
              <w:rPr>
                <w:rFonts w:hint="eastAsia" w:ascii="仿宋" w:hAnsi="仿宋" w:eastAsia="仿宋" w:cs="仿宋"/>
                <w:iCs/>
                <w:sz w:val="32"/>
                <w:szCs w:val="32"/>
              </w:rPr>
              <w:t>生活污水和生产废水，生活污水产生量为</w:t>
            </w:r>
            <w:r>
              <w:rPr>
                <w:rFonts w:hint="eastAsia" w:ascii="仿宋" w:hAnsi="仿宋" w:eastAsia="仿宋" w:cs="仿宋"/>
                <w:sz w:val="32"/>
                <w:szCs w:val="32"/>
              </w:rPr>
              <w:t>0.72m</w:t>
            </w:r>
            <w:r>
              <w:rPr>
                <w:rFonts w:hint="eastAsia" w:ascii="仿宋" w:hAnsi="仿宋" w:eastAsia="仿宋" w:cs="仿宋"/>
                <w:sz w:val="32"/>
                <w:szCs w:val="32"/>
                <w:vertAlign w:val="superscript"/>
              </w:rPr>
              <w:t>3</w:t>
            </w:r>
            <w:r>
              <w:rPr>
                <w:rFonts w:hint="eastAsia" w:ascii="仿宋" w:hAnsi="仿宋" w:eastAsia="仿宋" w:cs="仿宋"/>
                <w:sz w:val="32"/>
                <w:szCs w:val="32"/>
              </w:rPr>
              <w:t>/d（216m</w:t>
            </w:r>
            <w:r>
              <w:rPr>
                <w:rFonts w:hint="eastAsia" w:ascii="仿宋" w:hAnsi="仿宋" w:eastAsia="仿宋" w:cs="仿宋"/>
                <w:sz w:val="32"/>
                <w:szCs w:val="32"/>
                <w:vertAlign w:val="superscript"/>
              </w:rPr>
              <w:t>3</w:t>
            </w:r>
            <w:r>
              <w:rPr>
                <w:rFonts w:hint="eastAsia" w:ascii="仿宋" w:hAnsi="仿宋" w:eastAsia="仿宋" w:cs="仿宋"/>
                <w:sz w:val="32"/>
                <w:szCs w:val="32"/>
              </w:rPr>
              <w:t>/a），生产废水主要包括车间地面清洗废水和洗参废水，废水产生量为465.75m</w:t>
            </w:r>
            <w:r>
              <w:rPr>
                <w:rFonts w:hint="eastAsia" w:ascii="仿宋" w:hAnsi="仿宋" w:eastAsia="仿宋" w:cs="仿宋"/>
                <w:sz w:val="32"/>
                <w:szCs w:val="32"/>
                <w:vertAlign w:val="superscript"/>
              </w:rPr>
              <w:t>3</w:t>
            </w:r>
            <w:r>
              <w:rPr>
                <w:rFonts w:hint="eastAsia" w:ascii="仿宋" w:hAnsi="仿宋" w:eastAsia="仿宋" w:cs="仿宋"/>
                <w:sz w:val="32"/>
                <w:szCs w:val="32"/>
              </w:rPr>
              <w:t>/a。</w:t>
            </w:r>
            <w:r>
              <w:rPr>
                <w:rFonts w:hint="eastAsia" w:ascii="仿宋" w:hAnsi="仿宋" w:eastAsia="仿宋" w:cs="仿宋"/>
                <w:iCs/>
                <w:sz w:val="32"/>
                <w:szCs w:val="32"/>
              </w:rPr>
              <w:t>经</w:t>
            </w:r>
            <w:r>
              <w:rPr>
                <w:rFonts w:hint="eastAsia" w:ascii="仿宋" w:hAnsi="仿宋" w:eastAsia="仿宋" w:cs="仿宋"/>
                <w:sz w:val="32"/>
                <w:szCs w:val="32"/>
              </w:rPr>
              <w:t>管网排至抚松县恒润净化有限公司污水处理厂进行处理</w:t>
            </w:r>
            <w:r>
              <w:rPr>
                <w:rFonts w:hint="eastAsia" w:ascii="仿宋" w:hAnsi="仿宋" w:eastAsia="仿宋" w:cs="仿宋"/>
                <w:iCs/>
                <w:sz w:val="32"/>
                <w:szCs w:val="32"/>
              </w:rPr>
              <w:t>。</w:t>
            </w:r>
          </w:p>
          <w:p>
            <w:pPr>
              <w:pStyle w:val="2"/>
              <w:spacing w:before="0" w:beforeAutospacing="0" w:after="0" w:afterAutospacing="0"/>
              <w:ind w:firstLine="640" w:firstLineChars="200"/>
              <w:rPr>
                <w:rFonts w:hint="eastAsia" w:ascii="仿宋" w:hAnsi="仿宋" w:eastAsia="仿宋" w:cs="仿宋"/>
                <w:color w:val="191919"/>
                <w:sz w:val="32"/>
                <w:szCs w:val="32"/>
              </w:rPr>
            </w:pPr>
            <w:r>
              <w:rPr>
                <w:rFonts w:hint="eastAsia" w:ascii="仿宋" w:hAnsi="仿宋" w:eastAsia="仿宋" w:cs="仿宋"/>
                <w:color w:val="191919"/>
                <w:sz w:val="32"/>
                <w:szCs w:val="32"/>
              </w:rPr>
              <w:t>3.噪声</w:t>
            </w:r>
          </w:p>
          <w:p>
            <w:pPr>
              <w:pStyle w:val="2"/>
              <w:spacing w:before="0" w:beforeAutospacing="0" w:after="0" w:afterAutospacing="0"/>
              <w:ind w:firstLine="640" w:firstLineChars="200"/>
              <w:rPr>
                <w:rFonts w:hint="eastAsia" w:ascii="仿宋" w:hAnsi="仿宋" w:eastAsia="仿宋" w:cs="仿宋"/>
                <w:color w:val="191919"/>
                <w:sz w:val="32"/>
                <w:szCs w:val="32"/>
              </w:rPr>
            </w:pPr>
            <w:r>
              <w:rPr>
                <w:rFonts w:hint="eastAsia" w:ascii="仿宋" w:hAnsi="仿宋" w:eastAsia="仿宋" w:cs="仿宋"/>
                <w:iCs/>
                <w:sz w:val="32"/>
                <w:szCs w:val="32"/>
              </w:rPr>
              <w:t>项目噪声主要来源于烘干机、冷冻干燥机、粉碎机等，均位于生产车间内，其噪声级在75-85dB(A)左右。</w:t>
            </w:r>
            <w:r>
              <w:rPr>
                <w:rFonts w:hint="eastAsia" w:ascii="仿宋" w:hAnsi="仿宋" w:eastAsia="仿宋" w:cs="仿宋"/>
                <w:sz w:val="32"/>
                <w:szCs w:val="32"/>
              </w:rPr>
              <w:t>企业优选低噪声设备、基础减振措施予以缓解，使噪声得到有效衰减，厂界四周噪声均能满足GB12348-2008《工业企业厂界环境噪声排放标准》3类标准要求。</w:t>
            </w:r>
          </w:p>
          <w:p>
            <w:pPr>
              <w:pStyle w:val="2"/>
              <w:spacing w:before="0" w:beforeAutospacing="0" w:after="0" w:afterAutospacing="0"/>
              <w:ind w:firstLine="640" w:firstLineChars="200"/>
              <w:rPr>
                <w:rFonts w:hint="eastAsia" w:ascii="仿宋" w:hAnsi="仿宋" w:eastAsia="仿宋" w:cs="仿宋"/>
                <w:color w:val="191919"/>
                <w:sz w:val="32"/>
                <w:szCs w:val="32"/>
              </w:rPr>
            </w:pPr>
            <w:r>
              <w:rPr>
                <w:rFonts w:hint="eastAsia" w:ascii="仿宋" w:hAnsi="仿宋" w:eastAsia="仿宋" w:cs="仿宋"/>
                <w:color w:val="191919"/>
                <w:sz w:val="32"/>
                <w:szCs w:val="32"/>
              </w:rPr>
              <w:t>4.固体废物</w:t>
            </w:r>
          </w:p>
          <w:p>
            <w:pPr>
              <w:spacing w:line="360" w:lineRule="auto"/>
              <w:ind w:firstLine="640" w:firstLineChars="200"/>
              <w:rPr>
                <w:rFonts w:hint="eastAsia" w:ascii="仿宋" w:hAnsi="仿宋" w:eastAsia="仿宋" w:cs="仿宋"/>
                <w:iCs/>
                <w:sz w:val="32"/>
                <w:szCs w:val="32"/>
              </w:rPr>
            </w:pPr>
            <w:r>
              <w:rPr>
                <w:rFonts w:hint="eastAsia" w:ascii="仿宋" w:hAnsi="仿宋" w:eastAsia="仿宋" w:cs="仿宋"/>
                <w:iCs/>
                <w:sz w:val="32"/>
                <w:szCs w:val="32"/>
              </w:rPr>
              <w:t>本项目产生的固体废物有生活垃圾、挑选不合格人参、废弃包装材料等。</w:t>
            </w:r>
          </w:p>
          <w:p>
            <w:pPr>
              <w:pStyle w:val="2"/>
              <w:spacing w:before="0" w:beforeAutospacing="0" w:after="0" w:afterAutospacing="0"/>
              <w:ind w:firstLine="640" w:firstLineChars="200"/>
              <w:rPr>
                <w:rFonts w:hint="eastAsia" w:ascii="仿宋" w:hAnsi="仿宋" w:eastAsia="仿宋" w:cs="仿宋"/>
                <w:color w:val="191919"/>
                <w:sz w:val="32"/>
                <w:szCs w:val="32"/>
              </w:rPr>
            </w:pPr>
            <w:r>
              <w:rPr>
                <w:rFonts w:hint="eastAsia" w:ascii="仿宋" w:hAnsi="仿宋" w:eastAsia="仿宋" w:cs="仿宋"/>
                <w:iCs/>
                <w:sz w:val="32"/>
                <w:szCs w:val="32"/>
              </w:rPr>
              <w:t>生活垃圾：按0.5kg/d·人计算，则生活垃圾产生量为4.5t/a，收集后交由环卫部门处置；不合格人参主要为挑选出的较小或有损坏的，产生量为39t/a，外卖个人；废弃包装材料产生量为0.8t/a，打包后外卖废品回收站。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9" w:hRule="atLeast"/>
        </w:trPr>
        <w:tc>
          <w:tcPr>
            <w:tcW w:w="8522" w:type="dxa"/>
            <w:gridSpan w:val="4"/>
          </w:tcPr>
          <w:p>
            <w:pPr>
              <w:pStyle w:val="2"/>
              <w:spacing w:before="0" w:beforeAutospacing="0" w:after="0" w:afterAutospacing="0"/>
              <w:rPr>
                <w:rFonts w:hint="eastAsia" w:ascii="仿宋" w:hAnsi="仿宋" w:eastAsia="仿宋" w:cs="仿宋"/>
                <w:color w:val="191919"/>
                <w:sz w:val="32"/>
                <w:szCs w:val="32"/>
              </w:rPr>
            </w:pPr>
          </w:p>
          <w:p>
            <w:pPr>
              <w:pStyle w:val="2"/>
              <w:spacing w:before="0" w:beforeAutospacing="0" w:after="0" w:afterAutospacing="0"/>
              <w:ind w:firstLine="640" w:firstLineChars="200"/>
              <w:rPr>
                <w:rFonts w:hint="eastAsia" w:ascii="仿宋" w:hAnsi="仿宋" w:eastAsia="仿宋" w:cs="仿宋"/>
                <w:color w:val="191919"/>
                <w:sz w:val="32"/>
                <w:szCs w:val="32"/>
              </w:rPr>
            </w:pPr>
            <w:r>
              <w:rPr>
                <w:rFonts w:hint="eastAsia" w:ascii="仿宋" w:hAnsi="仿宋" w:eastAsia="仿宋" w:cs="仿宋"/>
                <w:color w:val="191919"/>
                <w:sz w:val="32"/>
                <w:szCs w:val="32"/>
              </w:rPr>
              <w:t>该项目环境影响报告表已经完成告知承诺制审批。</w:t>
            </w:r>
          </w:p>
          <w:p>
            <w:pPr>
              <w:pStyle w:val="2"/>
              <w:spacing w:before="0" w:beforeAutospacing="0" w:after="0" w:afterAutospacing="0"/>
              <w:rPr>
                <w:rFonts w:hint="eastAsia" w:ascii="仿宋" w:hAnsi="仿宋" w:eastAsia="仿宋" w:cs="仿宋"/>
                <w:color w:val="191919"/>
                <w:sz w:val="32"/>
                <w:szCs w:val="32"/>
              </w:rPr>
            </w:pPr>
          </w:p>
          <w:p>
            <w:pPr>
              <w:pStyle w:val="2"/>
              <w:spacing w:before="0" w:beforeAutospacing="0" w:after="0" w:afterAutospacing="0"/>
              <w:ind w:firstLine="4160" w:firstLineChars="1300"/>
              <w:rPr>
                <w:rFonts w:hint="eastAsia" w:ascii="仿宋" w:hAnsi="仿宋" w:eastAsia="仿宋" w:cs="仿宋"/>
                <w:color w:val="191919"/>
                <w:sz w:val="32"/>
                <w:szCs w:val="32"/>
              </w:rPr>
            </w:pPr>
          </w:p>
          <w:p>
            <w:pPr>
              <w:pStyle w:val="2"/>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 xml:space="preserve">                2021</w:t>
            </w:r>
            <w:r>
              <w:rPr>
                <w:rFonts w:hint="eastAsia" w:ascii="仿宋" w:hAnsi="仿宋" w:eastAsia="仿宋" w:cs="仿宋"/>
                <w:color w:val="191919"/>
                <w:sz w:val="32"/>
                <w:szCs w:val="32"/>
              </w:rPr>
              <w:t>年</w:t>
            </w:r>
            <w:r>
              <w:rPr>
                <w:rFonts w:hint="eastAsia" w:ascii="仿宋" w:hAnsi="仿宋" w:eastAsia="仿宋" w:cs="仿宋"/>
                <w:color w:val="191919"/>
                <w:sz w:val="32"/>
                <w:szCs w:val="32"/>
                <w:lang w:val="en-US" w:eastAsia="zh-CN"/>
              </w:rPr>
              <w:t>7</w:t>
            </w:r>
            <w:r>
              <w:rPr>
                <w:rFonts w:hint="eastAsia" w:ascii="仿宋" w:hAnsi="仿宋" w:eastAsia="仿宋" w:cs="仿宋"/>
                <w:color w:val="191919"/>
                <w:sz w:val="32"/>
                <w:szCs w:val="32"/>
              </w:rPr>
              <w:t xml:space="preserve">月 </w:t>
            </w:r>
            <w:r>
              <w:rPr>
                <w:rFonts w:hint="eastAsia" w:ascii="仿宋" w:hAnsi="仿宋" w:eastAsia="仿宋" w:cs="仿宋"/>
                <w:color w:val="191919"/>
                <w:sz w:val="32"/>
                <w:szCs w:val="32"/>
                <w:lang w:val="en-US" w:eastAsia="zh-CN"/>
              </w:rPr>
              <w:t>26</w:t>
            </w:r>
            <w:r>
              <w:rPr>
                <w:rFonts w:hint="eastAsia" w:ascii="仿宋" w:hAnsi="仿宋" w:eastAsia="仿宋" w:cs="仿宋"/>
                <w:color w:val="191919"/>
                <w:sz w:val="32"/>
                <w:szCs w:val="32"/>
              </w:rPr>
              <w:t xml:space="preserve">日 </w:t>
            </w:r>
          </w:p>
        </w:tc>
      </w:tr>
    </w:tbl>
    <w:p>
      <w:pPr>
        <w:pStyle w:val="2"/>
        <w:shd w:val="clear" w:color="auto" w:fill="FFFFFF"/>
        <w:spacing w:before="0" w:beforeAutospacing="0" w:after="0" w:afterAutospacing="0"/>
        <w:rPr>
          <w:rFonts w:hint="eastAsia" w:ascii="仿宋" w:hAnsi="仿宋" w:eastAsia="仿宋" w:cs="仿宋"/>
          <w:color w:val="191919"/>
          <w:sz w:val="32"/>
          <w:szCs w:val="32"/>
        </w:rPr>
      </w:pPr>
    </w:p>
    <w:p>
      <w:pPr>
        <w:pStyle w:val="2"/>
        <w:shd w:val="clear" w:color="auto" w:fill="FFFFFF"/>
        <w:spacing w:before="0" w:beforeAutospacing="0" w:after="0" w:afterAutospacing="0"/>
        <w:rPr>
          <w:rFonts w:ascii="仿宋" w:hAnsi="仿宋" w:eastAsia="仿宋" w:cs="Arial"/>
          <w:color w:val="191919"/>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4A3A"/>
    <w:rsid w:val="00001D2C"/>
    <w:rsid w:val="00173748"/>
    <w:rsid w:val="00191E5F"/>
    <w:rsid w:val="001B2A8D"/>
    <w:rsid w:val="00247A2D"/>
    <w:rsid w:val="002E09E9"/>
    <w:rsid w:val="004909CA"/>
    <w:rsid w:val="004B31E3"/>
    <w:rsid w:val="004C6472"/>
    <w:rsid w:val="00566D7C"/>
    <w:rsid w:val="005A5E1C"/>
    <w:rsid w:val="005D0604"/>
    <w:rsid w:val="00763983"/>
    <w:rsid w:val="007C3225"/>
    <w:rsid w:val="0089286B"/>
    <w:rsid w:val="00947253"/>
    <w:rsid w:val="00990281"/>
    <w:rsid w:val="009E41FE"/>
    <w:rsid w:val="00A33490"/>
    <w:rsid w:val="00D25518"/>
    <w:rsid w:val="00E84A3A"/>
    <w:rsid w:val="00F12859"/>
    <w:rsid w:val="00F6669D"/>
    <w:rsid w:val="00FA12DD"/>
    <w:rsid w:val="00FA12FB"/>
    <w:rsid w:val="05362C21"/>
    <w:rsid w:val="19AB20B5"/>
    <w:rsid w:val="412F4BD2"/>
    <w:rsid w:val="43303AC9"/>
    <w:rsid w:val="73A93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3</Pages>
  <Words>165</Words>
  <Characters>946</Characters>
  <Lines>7</Lines>
  <Paragraphs>2</Paragraphs>
  <TotalTime>9</TotalTime>
  <ScaleCrop>false</ScaleCrop>
  <LinksUpToDate>false</LinksUpToDate>
  <CharactersWithSpaces>1109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2020-04-22T04:59:00Z</dcterms:created>
  <dc:creator>Administrator</dc:creator>
  <cp:lastModifiedBy>Administrator</cp:lastModifiedBy>
  <dcterms:modified xsi:type="dcterms:W3CDTF">2021-07-26T05:09:42Z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CBD82193264449BA9F016A9BFB6F83E6</vt:lpwstr>
  </property>
</Properties>
</file>